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318" w:rsidRDefault="009B4318" w:rsidP="009B4318">
      <w:pPr>
        <w:jc w:val="center"/>
        <w:rPr>
          <w:rFonts w:ascii="Arial" w:eastAsia="Times New Roman" w:hAnsi="Arial" w:cs="Arial"/>
          <w:b/>
          <w:bCs/>
          <w:iCs/>
          <w:sz w:val="28"/>
          <w:szCs w:val="28"/>
        </w:rPr>
      </w:pPr>
      <w:r>
        <w:rPr>
          <w:rFonts w:ascii="Arial" w:eastAsia="Times New Roman" w:hAnsi="Arial" w:cs="Arial"/>
          <w:b/>
          <w:bCs/>
          <w:iCs/>
          <w:sz w:val="28"/>
          <w:szCs w:val="28"/>
        </w:rPr>
        <w:t>Shaw versus Reno  (1993)</w:t>
      </w:r>
    </w:p>
    <w:p w:rsidR="009B4318" w:rsidRDefault="009B4318" w:rsidP="009B4318">
      <w:pPr>
        <w:rPr>
          <w:rFonts w:ascii="Arial" w:eastAsia="Times New Roman" w:hAnsi="Arial" w:cs="Arial"/>
          <w:b/>
          <w:bCs/>
          <w:iCs/>
          <w:sz w:val="28"/>
          <w:szCs w:val="28"/>
        </w:rPr>
      </w:pPr>
    </w:p>
    <w:p w:rsidR="009B4318" w:rsidRPr="009B4318" w:rsidRDefault="009B4318" w:rsidP="009B4318">
      <w:pPr>
        <w:rPr>
          <w:rFonts w:ascii="Arial" w:eastAsia="Times New Roman" w:hAnsi="Arial" w:cs="Arial"/>
          <w:b/>
          <w:bCs/>
          <w:iCs/>
          <w:sz w:val="28"/>
          <w:szCs w:val="28"/>
        </w:rPr>
      </w:pPr>
      <w:r>
        <w:rPr>
          <w:rFonts w:ascii="Arial" w:eastAsia="Times New Roman" w:hAnsi="Arial" w:cs="Arial"/>
          <w:b/>
          <w:bCs/>
          <w:iCs/>
          <w:sz w:val="28"/>
          <w:szCs w:val="28"/>
        </w:rPr>
        <w:t>Background:</w:t>
      </w:r>
    </w:p>
    <w:p w:rsidR="009B4318" w:rsidRDefault="009B4318" w:rsidP="009B4318">
      <w:pPr>
        <w:rPr>
          <w:rFonts w:ascii="Arial" w:eastAsia="Times New Roman" w:hAnsi="Arial" w:cs="Arial"/>
          <w:b/>
          <w:bCs/>
          <w:i/>
          <w:iCs/>
        </w:rPr>
      </w:pPr>
    </w:p>
    <w:p w:rsidR="009B4318" w:rsidRDefault="009B4318" w:rsidP="009B4318">
      <w:pPr>
        <w:rPr>
          <w:rFonts w:ascii="Arial" w:eastAsia="Times New Roman" w:hAnsi="Arial" w:cs="Arial"/>
          <w:shd w:val="clear" w:color="auto" w:fill="FFFFFF"/>
        </w:rPr>
      </w:pPr>
      <w:r w:rsidRPr="009B4318">
        <w:rPr>
          <w:rFonts w:ascii="Arial" w:eastAsia="Times New Roman" w:hAnsi="Arial" w:cs="Arial"/>
          <w:b/>
          <w:bCs/>
          <w:i/>
          <w:iCs/>
        </w:rPr>
        <w:t>Shaw v. Reno</w:t>
      </w:r>
      <w:r w:rsidRPr="009B4318">
        <w:rPr>
          <w:rFonts w:ascii="Arial" w:eastAsia="Times New Roman" w:hAnsi="Arial" w:cs="Arial"/>
          <w:shd w:val="clear" w:color="auto" w:fill="FFFFFF"/>
        </w:rPr>
        <w:t>, </w:t>
      </w:r>
      <w:hyperlink r:id="rId8" w:tooltip="List of United States Supreme Court cases, volume 509" w:history="1">
        <w:r w:rsidRPr="009B4318">
          <w:rPr>
            <w:rFonts w:ascii="Arial" w:eastAsia="Times New Roman" w:hAnsi="Arial" w:cs="Arial"/>
          </w:rPr>
          <w:t>509</w:t>
        </w:r>
      </w:hyperlink>
      <w:r w:rsidRPr="009B4318">
        <w:rPr>
          <w:rFonts w:ascii="Arial" w:eastAsia="Times New Roman" w:hAnsi="Arial" w:cs="Arial"/>
          <w:shd w:val="clear" w:color="auto" w:fill="FFFFFF"/>
        </w:rPr>
        <w:t> </w:t>
      </w:r>
      <w:hyperlink r:id="rId9" w:tooltip="United States Reports" w:history="1">
        <w:r w:rsidRPr="009B4318">
          <w:rPr>
            <w:rFonts w:ascii="Arial" w:eastAsia="Times New Roman" w:hAnsi="Arial" w:cs="Arial"/>
          </w:rPr>
          <w:t>U.S.</w:t>
        </w:r>
      </w:hyperlink>
      <w:r w:rsidRPr="009B4318">
        <w:rPr>
          <w:rFonts w:ascii="Arial" w:eastAsia="Times New Roman" w:hAnsi="Arial" w:cs="Arial"/>
          <w:shd w:val="clear" w:color="auto" w:fill="FFFFFF"/>
        </w:rPr>
        <w:t> 630 (1993), was a </w:t>
      </w:r>
      <w:hyperlink r:id="rId10" w:tooltip="United States Supreme Court" w:history="1">
        <w:r w:rsidRPr="009B4318">
          <w:rPr>
            <w:rFonts w:ascii="Arial" w:eastAsia="Times New Roman" w:hAnsi="Arial" w:cs="Arial"/>
          </w:rPr>
          <w:t>United States Supreme Court</w:t>
        </w:r>
      </w:hyperlink>
      <w:r w:rsidRPr="009B4318">
        <w:rPr>
          <w:rFonts w:ascii="Arial" w:eastAsia="Times New Roman" w:hAnsi="Arial" w:cs="Arial"/>
          <w:shd w:val="clear" w:color="auto" w:fill="FFFFFF"/>
        </w:rPr>
        <w:t> case argued on April 20, 1993. The ruling was significant in the area of </w:t>
      </w:r>
      <w:hyperlink r:id="rId11" w:tooltip="Redistricting" w:history="1">
        <w:r w:rsidRPr="009B4318">
          <w:rPr>
            <w:rFonts w:ascii="Arial" w:eastAsia="Times New Roman" w:hAnsi="Arial" w:cs="Arial"/>
          </w:rPr>
          <w:t>redistricting</w:t>
        </w:r>
      </w:hyperlink>
      <w:r w:rsidRPr="009B4318">
        <w:rPr>
          <w:rFonts w:ascii="Arial" w:eastAsia="Times New Roman" w:hAnsi="Arial" w:cs="Arial"/>
          <w:shd w:val="clear" w:color="auto" w:fill="FFFFFF"/>
        </w:rPr>
        <w:t> and racial </w:t>
      </w:r>
      <w:hyperlink r:id="rId12" w:tooltip="Gerrymandering" w:history="1">
        <w:r w:rsidRPr="009B4318">
          <w:rPr>
            <w:rFonts w:ascii="Arial" w:eastAsia="Times New Roman" w:hAnsi="Arial" w:cs="Arial"/>
          </w:rPr>
          <w:t>gerrymandering</w:t>
        </w:r>
      </w:hyperlink>
      <w:r w:rsidRPr="009B4318">
        <w:rPr>
          <w:rFonts w:ascii="Arial" w:eastAsia="Times New Roman" w:hAnsi="Arial" w:cs="Arial"/>
          <w:shd w:val="clear" w:color="auto" w:fill="FFFFFF"/>
        </w:rPr>
        <w:t>. The court ruled in a 5-4 decision that redistricting based on race must be held to a standard of </w:t>
      </w:r>
      <w:hyperlink r:id="rId13" w:tooltip="Strict scrutiny" w:history="1">
        <w:r w:rsidRPr="009B4318">
          <w:rPr>
            <w:rFonts w:ascii="Arial" w:eastAsia="Times New Roman" w:hAnsi="Arial" w:cs="Arial"/>
          </w:rPr>
          <w:t>strict scrutiny</w:t>
        </w:r>
      </w:hyperlink>
      <w:r w:rsidRPr="009B4318">
        <w:rPr>
          <w:rFonts w:ascii="Arial" w:eastAsia="Times New Roman" w:hAnsi="Arial" w:cs="Arial"/>
          <w:shd w:val="clear" w:color="auto" w:fill="FFFFFF"/>
        </w:rPr>
        <w:t> under the </w:t>
      </w:r>
      <w:hyperlink r:id="rId14" w:tooltip="Equal protection clause" w:history="1">
        <w:r w:rsidRPr="009B4318">
          <w:rPr>
            <w:rFonts w:ascii="Arial" w:eastAsia="Times New Roman" w:hAnsi="Arial" w:cs="Arial"/>
          </w:rPr>
          <w:t>equal protection clause</w:t>
        </w:r>
      </w:hyperlink>
      <w:r w:rsidRPr="009B4318">
        <w:rPr>
          <w:rFonts w:ascii="Arial" w:eastAsia="Times New Roman" w:hAnsi="Arial" w:cs="Arial"/>
          <w:shd w:val="clear" w:color="auto" w:fill="FFFFFF"/>
        </w:rPr>
        <w:t>. On the other hand, bodies doing redistricting must be conscious of race to the extent that they must ensure compliance with the </w:t>
      </w:r>
      <w:hyperlink r:id="rId15" w:tooltip="Voting Rights Act of 1965" w:history="1">
        <w:r w:rsidRPr="009B4318">
          <w:rPr>
            <w:rFonts w:ascii="Arial" w:eastAsia="Times New Roman" w:hAnsi="Arial" w:cs="Arial"/>
          </w:rPr>
          <w:t>Voting Rights Act of 1965</w:t>
        </w:r>
      </w:hyperlink>
      <w:r w:rsidRPr="009B4318">
        <w:rPr>
          <w:rFonts w:ascii="Arial" w:eastAsia="Times New Roman" w:hAnsi="Arial" w:cs="Arial"/>
          <w:shd w:val="clear" w:color="auto" w:fill="FFFFFF"/>
        </w:rPr>
        <w:t>. The redistricting that occurred after the </w:t>
      </w:r>
      <w:hyperlink r:id="rId16" w:tooltip="United States Census, 2000" w:history="1">
        <w:r w:rsidRPr="009B4318">
          <w:rPr>
            <w:rFonts w:ascii="Arial" w:eastAsia="Times New Roman" w:hAnsi="Arial" w:cs="Arial"/>
          </w:rPr>
          <w:t>2000 census</w:t>
        </w:r>
      </w:hyperlink>
      <w:r w:rsidRPr="009B4318">
        <w:rPr>
          <w:rFonts w:ascii="Arial" w:eastAsia="Times New Roman" w:hAnsi="Arial" w:cs="Arial"/>
          <w:shd w:val="clear" w:color="auto" w:fill="FFFFFF"/>
        </w:rPr>
        <w:t>, as required to reflect population changes, was the first nationwide redistricting to apply the results of </w:t>
      </w:r>
      <w:r w:rsidRPr="009B4318">
        <w:rPr>
          <w:rFonts w:ascii="Arial" w:eastAsia="Times New Roman" w:hAnsi="Arial" w:cs="Arial"/>
          <w:i/>
          <w:iCs/>
        </w:rPr>
        <w:t>Shaw v. Reno</w:t>
      </w:r>
      <w:r w:rsidRPr="009B4318">
        <w:rPr>
          <w:rFonts w:ascii="Arial" w:eastAsia="Times New Roman" w:hAnsi="Arial" w:cs="Arial"/>
          <w:shd w:val="clear" w:color="auto" w:fill="FFFFFF"/>
        </w:rPr>
        <w:t>.</w:t>
      </w:r>
    </w:p>
    <w:p w:rsidR="009B4318" w:rsidRDefault="009B4318" w:rsidP="009B4318">
      <w:pPr>
        <w:rPr>
          <w:rFonts w:ascii="Arial" w:eastAsia="Times New Roman" w:hAnsi="Arial" w:cs="Arial"/>
          <w:shd w:val="clear" w:color="auto" w:fill="FFFFFF"/>
        </w:rPr>
      </w:pPr>
    </w:p>
    <w:p w:rsidR="009B4318" w:rsidRPr="00DA656E" w:rsidRDefault="009B4318" w:rsidP="009B4318">
      <w:pPr>
        <w:rPr>
          <w:rFonts w:ascii="Arial" w:eastAsia="Times New Roman" w:hAnsi="Arial" w:cs="Arial"/>
          <w:b/>
          <w:sz w:val="28"/>
          <w:szCs w:val="28"/>
          <w:shd w:val="clear" w:color="auto" w:fill="FFFFFF"/>
        </w:rPr>
      </w:pPr>
      <w:r w:rsidRPr="00DA656E">
        <w:rPr>
          <w:rFonts w:ascii="Arial" w:eastAsia="Times New Roman" w:hAnsi="Arial" w:cs="Arial"/>
          <w:b/>
          <w:sz w:val="28"/>
          <w:szCs w:val="28"/>
          <w:shd w:val="clear" w:color="auto" w:fill="FFFFFF"/>
        </w:rPr>
        <w:t>Majority Opinion:</w:t>
      </w:r>
    </w:p>
    <w:p w:rsidR="009B4318" w:rsidRDefault="009B4318" w:rsidP="009B4318">
      <w:pPr>
        <w:rPr>
          <w:rFonts w:ascii="Arial" w:eastAsia="Times New Roman" w:hAnsi="Arial" w:cs="Arial"/>
          <w:sz w:val="28"/>
          <w:szCs w:val="28"/>
          <w:shd w:val="clear" w:color="auto" w:fill="FFFFFF"/>
        </w:rPr>
      </w:pPr>
    </w:p>
    <w:p w:rsidR="009B4318" w:rsidRPr="009B4318" w:rsidRDefault="009B4318" w:rsidP="009B4318">
      <w:pPr>
        <w:rPr>
          <w:rFonts w:ascii="Arial" w:eastAsia="Times New Roman" w:hAnsi="Arial" w:cs="Arial"/>
        </w:rPr>
      </w:pPr>
      <w:r w:rsidRPr="009B4318">
        <w:rPr>
          <w:rFonts w:ascii="Arial" w:eastAsia="Times New Roman" w:hAnsi="Arial" w:cs="Arial"/>
          <w:shd w:val="clear" w:color="auto" w:fill="FFFFFF"/>
        </w:rPr>
        <w:t>Justice </w:t>
      </w:r>
      <w:hyperlink r:id="rId17" w:tooltip="Sandra Day O'Connor" w:history="1">
        <w:r w:rsidRPr="009B4318">
          <w:rPr>
            <w:rFonts w:ascii="Arial" w:eastAsia="Times New Roman" w:hAnsi="Arial" w:cs="Arial"/>
          </w:rPr>
          <w:t>Sandra Day O'Connor</w:t>
        </w:r>
      </w:hyperlink>
      <w:r w:rsidRPr="009B4318">
        <w:rPr>
          <w:rFonts w:ascii="Arial" w:eastAsia="Times New Roman" w:hAnsi="Arial" w:cs="Arial"/>
          <w:shd w:val="clear" w:color="auto" w:fill="FFFFFF"/>
        </w:rPr>
        <w:t> delivered the opinion of the Court, which reversed that of the District Court. She described the shape of the new district as "bizarre" and said such a district "bears an uncomfortable resemblance to political </w:t>
      </w:r>
      <w:hyperlink r:id="rId18" w:tooltip="Apartheid" w:history="1">
        <w:r w:rsidRPr="009B4318">
          <w:rPr>
            <w:rFonts w:ascii="Arial" w:eastAsia="Times New Roman" w:hAnsi="Arial" w:cs="Arial"/>
          </w:rPr>
          <w:t>apartheid</w:t>
        </w:r>
      </w:hyperlink>
      <w:r w:rsidRPr="009B4318">
        <w:rPr>
          <w:rFonts w:ascii="Arial" w:eastAsia="Times New Roman" w:hAnsi="Arial" w:cs="Arial"/>
          <w:shd w:val="clear" w:color="auto" w:fill="FFFFFF"/>
        </w:rPr>
        <w:t>." The Court found that if a redistricting map is "so bizarre on its face that it is 'unexplainable on grounds other than race'," that a claim for relief under the </w:t>
      </w:r>
      <w:hyperlink r:id="rId19" w:tooltip="Fourteenth Amendment to the United States Constitution" w:history="1">
        <w:r w:rsidRPr="009B4318">
          <w:rPr>
            <w:rFonts w:ascii="Arial" w:eastAsia="Times New Roman" w:hAnsi="Arial" w:cs="Arial"/>
          </w:rPr>
          <w:t>Fourteenth Amendment to the United States Constitution</w:t>
        </w:r>
      </w:hyperlink>
      <w:r w:rsidRPr="009B4318">
        <w:rPr>
          <w:rFonts w:ascii="Arial" w:eastAsia="Times New Roman" w:hAnsi="Arial" w:cs="Arial"/>
          <w:shd w:val="clear" w:color="auto" w:fill="FFFFFF"/>
        </w:rPr>
        <w:t> is available to plaintiffs. Such redistricting will be held unconstitutional if it is found to be intended to segregate voters by race and this segregation cannot be justified under a standard of </w:t>
      </w:r>
      <w:hyperlink r:id="rId20" w:tooltip="Strict scrutiny" w:history="1">
        <w:r w:rsidRPr="009B4318">
          <w:rPr>
            <w:rFonts w:ascii="Arial" w:eastAsia="Times New Roman" w:hAnsi="Arial" w:cs="Arial"/>
          </w:rPr>
          <w:t>strict scrutiny</w:t>
        </w:r>
      </w:hyperlink>
      <w:r w:rsidRPr="009B4318">
        <w:rPr>
          <w:rFonts w:ascii="Arial" w:eastAsia="Times New Roman" w:hAnsi="Arial" w:cs="Arial"/>
          <w:shd w:val="clear" w:color="auto" w:fill="FFFFFF"/>
        </w:rPr>
        <w:t>. Actions subject to this standard must satisfy three conditions: a </w:t>
      </w:r>
      <w:hyperlink r:id="rId21" w:tooltip="Compelling government interest" w:history="1">
        <w:r w:rsidRPr="009B4318">
          <w:rPr>
            <w:rFonts w:ascii="Arial" w:eastAsia="Times New Roman" w:hAnsi="Arial" w:cs="Arial"/>
          </w:rPr>
          <w:t>compelling government interest</w:t>
        </w:r>
      </w:hyperlink>
      <w:r w:rsidRPr="009B4318">
        <w:rPr>
          <w:rFonts w:ascii="Arial" w:eastAsia="Times New Roman" w:hAnsi="Arial" w:cs="Arial"/>
          <w:shd w:val="clear" w:color="auto" w:fill="FFFFFF"/>
        </w:rPr>
        <w:t>, </w:t>
      </w:r>
      <w:hyperlink r:id="rId22" w:tooltip="Narrowly tailored" w:history="1">
        <w:r w:rsidRPr="009B4318">
          <w:rPr>
            <w:rFonts w:ascii="Arial" w:eastAsia="Times New Roman" w:hAnsi="Arial" w:cs="Arial"/>
          </w:rPr>
          <w:t>narrowly tailored</w:t>
        </w:r>
      </w:hyperlink>
      <w:r w:rsidRPr="009B4318">
        <w:rPr>
          <w:rFonts w:ascii="Arial" w:eastAsia="Times New Roman" w:hAnsi="Arial" w:cs="Arial"/>
          <w:shd w:val="clear" w:color="auto" w:fill="FFFFFF"/>
        </w:rPr>
        <w:t> to achieve that goal, and the </w:t>
      </w:r>
      <w:hyperlink r:id="rId23" w:tooltip="Least restrictive means" w:history="1">
        <w:r w:rsidRPr="009B4318">
          <w:rPr>
            <w:rFonts w:ascii="Arial" w:eastAsia="Times New Roman" w:hAnsi="Arial" w:cs="Arial"/>
          </w:rPr>
          <w:t>least restrictive means</w:t>
        </w:r>
      </w:hyperlink>
      <w:r w:rsidRPr="009B4318">
        <w:rPr>
          <w:rFonts w:ascii="Arial" w:eastAsia="Times New Roman" w:hAnsi="Arial" w:cs="Arial"/>
          <w:shd w:val="clear" w:color="auto" w:fill="FFFFFF"/>
        </w:rPr>
        <w:t> for achieving that interest.</w:t>
      </w:r>
    </w:p>
    <w:p w:rsidR="009B4318" w:rsidRPr="009B4318" w:rsidRDefault="009B4318" w:rsidP="009B4318">
      <w:pPr>
        <w:rPr>
          <w:rFonts w:ascii="Arial" w:eastAsia="Times New Roman" w:hAnsi="Arial" w:cs="Arial"/>
          <w:sz w:val="28"/>
          <w:szCs w:val="28"/>
        </w:rPr>
      </w:pPr>
    </w:p>
    <w:p w:rsidR="009B4318" w:rsidRPr="00DA656E" w:rsidRDefault="00DA656E" w:rsidP="00DA656E">
      <w:pPr>
        <w:spacing w:before="300" w:after="150"/>
        <w:outlineLvl w:val="2"/>
        <w:rPr>
          <w:rFonts w:ascii="Arial" w:eastAsia="Times New Roman" w:hAnsi="Arial" w:cs="Arial"/>
          <w:b/>
          <w:bCs/>
          <w:sz w:val="28"/>
          <w:szCs w:val="28"/>
        </w:rPr>
      </w:pPr>
      <w:r w:rsidRPr="00DA656E">
        <w:rPr>
          <w:rFonts w:ascii="Arial" w:eastAsia="Times New Roman" w:hAnsi="Arial" w:cs="Arial"/>
          <w:b/>
          <w:bCs/>
          <w:sz w:val="28"/>
          <w:szCs w:val="28"/>
        </w:rPr>
        <w:t>Dissenting Opinion:</w:t>
      </w:r>
    </w:p>
    <w:p w:rsidR="00DA656E" w:rsidRPr="00DA656E" w:rsidRDefault="00DA656E" w:rsidP="00DA656E">
      <w:pPr>
        <w:pStyle w:val="ListParagraph"/>
        <w:numPr>
          <w:ilvl w:val="0"/>
          <w:numId w:val="1"/>
        </w:numPr>
        <w:spacing w:after="24"/>
        <w:rPr>
          <w:rFonts w:ascii="Arial" w:eastAsia="Times New Roman" w:hAnsi="Arial" w:cs="Arial"/>
        </w:rPr>
      </w:pPr>
      <w:r w:rsidRPr="00DA656E">
        <w:rPr>
          <w:rFonts w:ascii="Arial" w:eastAsia="Times New Roman" w:hAnsi="Arial" w:cs="Arial"/>
        </w:rPr>
        <w:t>That the case was brought by white voters challenging the district. Its boundaries had enabled the district's majority of black voters to elect the majority-white state's first black representatives to Congress since 1898, when </w:t>
      </w:r>
      <w:hyperlink r:id="rId24" w:tooltip="George Henry White" w:history="1">
        <w:r w:rsidRPr="00DA656E">
          <w:rPr>
            <w:rFonts w:ascii="Arial" w:eastAsia="Times New Roman" w:hAnsi="Arial" w:cs="Arial"/>
          </w:rPr>
          <w:t>George Henry White</w:t>
        </w:r>
      </w:hyperlink>
      <w:r w:rsidRPr="00DA656E">
        <w:rPr>
          <w:rFonts w:ascii="Arial" w:eastAsia="Times New Roman" w:hAnsi="Arial" w:cs="Arial"/>
        </w:rPr>
        <w:t> was re-elected to his second term in Congress from </w:t>
      </w:r>
      <w:hyperlink r:id="rId25" w:tooltip="North Carolina's 2nd congressional district" w:history="1">
        <w:r w:rsidRPr="00DA656E">
          <w:rPr>
            <w:rFonts w:ascii="Arial" w:eastAsia="Times New Roman" w:hAnsi="Arial" w:cs="Arial"/>
          </w:rPr>
          <w:t>North Carolina's 2nd congressional district</w:t>
        </w:r>
      </w:hyperlink>
      <w:r w:rsidRPr="00DA656E">
        <w:rPr>
          <w:rFonts w:ascii="Arial" w:eastAsia="Times New Roman" w:hAnsi="Arial" w:cs="Arial"/>
        </w:rPr>
        <w:t>.</w:t>
      </w:r>
      <w:hyperlink r:id="rId26" w:anchor="cite_note-White-1" w:history="1">
        <w:r w:rsidRPr="00DA656E">
          <w:rPr>
            <w:rFonts w:ascii="Arial" w:eastAsia="Times New Roman" w:hAnsi="Arial" w:cs="Arial"/>
            <w:vertAlign w:val="superscript"/>
          </w:rPr>
          <w:t>[1]</w:t>
        </w:r>
      </w:hyperlink>
      <w:r w:rsidRPr="00DA656E">
        <w:rPr>
          <w:rFonts w:ascii="Arial" w:eastAsia="Times New Roman" w:hAnsi="Arial" w:cs="Arial"/>
        </w:rPr>
        <w:t> (In 1899, after North Carolina Democrats passed a new state constitution to disfranchise blacks, White chose not to seek a third term in Congress. He told the </w:t>
      </w:r>
      <w:hyperlink r:id="rId27" w:tooltip="Chicago Tribune" w:history="1">
        <w:r w:rsidRPr="00DA656E">
          <w:rPr>
            <w:rFonts w:ascii="Arial" w:eastAsia="Times New Roman" w:hAnsi="Arial" w:cs="Arial"/>
            <w:i/>
            <w:iCs/>
          </w:rPr>
          <w:t>Chicago Tribune</w:t>
        </w:r>
      </w:hyperlink>
      <w:r w:rsidRPr="00DA656E">
        <w:rPr>
          <w:rFonts w:ascii="Arial" w:eastAsia="Times New Roman" w:hAnsi="Arial" w:cs="Arial"/>
        </w:rPr>
        <w:t xml:space="preserve">, "I cannot live in North Carolina and be a man and be treated as a man." He moved to Washington, DC. </w:t>
      </w:r>
    </w:p>
    <w:p w:rsidR="00DA656E" w:rsidRPr="00DA656E" w:rsidRDefault="00DA656E" w:rsidP="00DA656E">
      <w:pPr>
        <w:pStyle w:val="ListParagraph"/>
        <w:spacing w:after="24"/>
        <w:rPr>
          <w:rFonts w:ascii="Arial" w:eastAsia="Times New Roman" w:hAnsi="Arial" w:cs="Arial"/>
        </w:rPr>
      </w:pPr>
    </w:p>
    <w:p w:rsidR="00DA656E" w:rsidRDefault="00DA656E" w:rsidP="00DA656E">
      <w:pPr>
        <w:spacing w:after="24"/>
        <w:rPr>
          <w:rFonts w:ascii="Arial" w:eastAsia="Times New Roman" w:hAnsi="Arial" w:cs="Arial"/>
        </w:rPr>
      </w:pPr>
      <w:r>
        <w:rPr>
          <w:rFonts w:ascii="Arial" w:eastAsia="Times New Roman" w:hAnsi="Arial" w:cs="Arial"/>
        </w:rPr>
        <w:t>(2) T</w:t>
      </w:r>
      <w:r w:rsidRPr="00DA656E">
        <w:rPr>
          <w:rFonts w:ascii="Arial" w:eastAsia="Times New Roman" w:hAnsi="Arial" w:cs="Arial"/>
        </w:rPr>
        <w:t xml:space="preserve">hat the holding citing the 14th Amendment perversely made redistricting that </w:t>
      </w:r>
    </w:p>
    <w:p w:rsidR="00DA656E" w:rsidRDefault="00DA656E" w:rsidP="00DA656E">
      <w:pPr>
        <w:spacing w:after="24"/>
        <w:rPr>
          <w:rFonts w:ascii="Arial" w:eastAsia="Times New Roman" w:hAnsi="Arial" w:cs="Arial"/>
        </w:rPr>
      </w:pPr>
      <w:r>
        <w:rPr>
          <w:rFonts w:ascii="Arial" w:eastAsia="Times New Roman" w:hAnsi="Arial" w:cs="Arial"/>
        </w:rPr>
        <w:t xml:space="preserve">      </w:t>
      </w:r>
      <w:r w:rsidRPr="00DA656E">
        <w:rPr>
          <w:rFonts w:ascii="Arial" w:eastAsia="Times New Roman" w:hAnsi="Arial" w:cs="Arial"/>
        </w:rPr>
        <w:t xml:space="preserve">advantaged blacks subject to more rigorous scrutiny than redistricting </w:t>
      </w:r>
      <w:r>
        <w:rPr>
          <w:rFonts w:ascii="Arial" w:eastAsia="Times New Roman" w:hAnsi="Arial" w:cs="Arial"/>
        </w:rPr>
        <w:t xml:space="preserve"> </w:t>
      </w:r>
    </w:p>
    <w:p w:rsidR="00DA656E" w:rsidRDefault="00DA656E" w:rsidP="00DA656E">
      <w:pPr>
        <w:spacing w:after="24"/>
        <w:rPr>
          <w:rFonts w:ascii="Arial" w:eastAsia="Times New Roman" w:hAnsi="Arial" w:cs="Arial"/>
        </w:rPr>
      </w:pPr>
      <w:r>
        <w:rPr>
          <w:rFonts w:ascii="Arial" w:eastAsia="Times New Roman" w:hAnsi="Arial" w:cs="Arial"/>
        </w:rPr>
        <w:t xml:space="preserve">      </w:t>
      </w:r>
      <w:r w:rsidRPr="00DA656E">
        <w:rPr>
          <w:rFonts w:ascii="Arial" w:eastAsia="Times New Roman" w:hAnsi="Arial" w:cs="Arial"/>
        </w:rPr>
        <w:t xml:space="preserve">advantaging other non-racial groups, though the 14th amendment was intended </w:t>
      </w:r>
    </w:p>
    <w:p w:rsidR="00DA656E" w:rsidRDefault="00DA656E" w:rsidP="00DA656E">
      <w:pPr>
        <w:spacing w:after="24"/>
        <w:rPr>
          <w:rFonts w:ascii="Arial" w:eastAsia="Times New Roman" w:hAnsi="Arial" w:cs="Arial"/>
        </w:rPr>
      </w:pPr>
      <w:r>
        <w:rPr>
          <w:rFonts w:ascii="Arial" w:eastAsia="Times New Roman" w:hAnsi="Arial" w:cs="Arial"/>
        </w:rPr>
        <w:t xml:space="preserve">      </w:t>
      </w:r>
      <w:r w:rsidRPr="00DA656E">
        <w:rPr>
          <w:rFonts w:ascii="Arial" w:eastAsia="Times New Roman" w:hAnsi="Arial" w:cs="Arial"/>
        </w:rPr>
        <w:t xml:space="preserve">to provide for equal protection for blacks after emancipation and abolition of </w:t>
      </w:r>
    </w:p>
    <w:p w:rsidR="00DA656E" w:rsidRPr="00DA656E" w:rsidRDefault="00DA656E" w:rsidP="00DA656E">
      <w:pPr>
        <w:spacing w:after="24"/>
        <w:rPr>
          <w:rFonts w:ascii="Arial" w:eastAsia="Times New Roman" w:hAnsi="Arial" w:cs="Arial"/>
        </w:rPr>
      </w:pPr>
      <w:r>
        <w:rPr>
          <w:rFonts w:ascii="Arial" w:eastAsia="Times New Roman" w:hAnsi="Arial" w:cs="Arial"/>
        </w:rPr>
        <w:t xml:space="preserve">      </w:t>
      </w:r>
      <w:r w:rsidRPr="00DA656E">
        <w:rPr>
          <w:rFonts w:ascii="Arial" w:eastAsia="Times New Roman" w:hAnsi="Arial" w:cs="Arial"/>
        </w:rPr>
        <w:t>slavery, and;</w:t>
      </w:r>
    </w:p>
    <w:p w:rsidR="00DA656E" w:rsidRPr="00DA656E" w:rsidRDefault="00DA656E" w:rsidP="00DA656E">
      <w:pPr>
        <w:spacing w:after="24"/>
        <w:rPr>
          <w:rFonts w:ascii="Arial" w:eastAsia="Times New Roman" w:hAnsi="Arial" w:cs="Arial"/>
        </w:rPr>
      </w:pPr>
      <w:r>
        <w:rPr>
          <w:rFonts w:ascii="Arial" w:eastAsia="Times New Roman" w:hAnsi="Arial" w:cs="Arial"/>
        </w:rPr>
        <w:t xml:space="preserve">(3) </w:t>
      </w:r>
      <w:r w:rsidRPr="00DA656E">
        <w:rPr>
          <w:rFonts w:ascii="Arial" w:eastAsia="Times New Roman" w:hAnsi="Arial" w:cs="Arial"/>
        </w:rPr>
        <w:t>That allowing race-based voting blocs is distinct from other forms of </w:t>
      </w:r>
      <w:hyperlink r:id="rId28" w:tooltip="Affirmative action" w:history="1">
        <w:r w:rsidRPr="00DA656E">
          <w:rPr>
            <w:rFonts w:ascii="Arial" w:eastAsia="Times New Roman" w:hAnsi="Arial" w:cs="Arial"/>
          </w:rPr>
          <w:t xml:space="preserve">affirmative </w:t>
        </w:r>
        <w:r w:rsidRPr="00DA656E">
          <w:rPr>
            <w:rFonts w:ascii="Arial" w:eastAsia="Times New Roman" w:hAnsi="Arial" w:cs="Arial"/>
          </w:rPr>
          <w:t xml:space="preserve">     action</w:t>
        </w:r>
      </w:hyperlink>
      <w:r w:rsidRPr="00DA656E">
        <w:rPr>
          <w:rFonts w:ascii="Arial" w:eastAsia="Times New Roman" w:hAnsi="Arial" w:cs="Arial"/>
        </w:rPr>
        <w:t>, insofar as allowing race-based blocs does not deny another person her rights and privileges, as for example, race-based hiring and retention practices do.</w:t>
      </w:r>
    </w:p>
    <w:p w:rsidR="00DA656E" w:rsidRDefault="00DA656E" w:rsidP="00DA656E">
      <w:pPr>
        <w:spacing w:before="300" w:after="150"/>
        <w:outlineLvl w:val="2"/>
        <w:rPr>
          <w:rFonts w:ascii="Arial" w:eastAsia="Times New Roman" w:hAnsi="Arial" w:cs="Arial"/>
          <w:b/>
          <w:bCs/>
          <w:color w:val="333333"/>
          <w:sz w:val="28"/>
          <w:szCs w:val="28"/>
        </w:rPr>
      </w:pPr>
      <w:bookmarkStart w:id="0" w:name="_GoBack"/>
      <w:bookmarkEnd w:id="0"/>
    </w:p>
    <w:p w:rsidR="00DA656E" w:rsidRPr="00DA656E" w:rsidRDefault="00DA656E" w:rsidP="00DA656E">
      <w:pPr>
        <w:spacing w:before="300" w:after="150"/>
        <w:outlineLvl w:val="2"/>
        <w:rPr>
          <w:rFonts w:ascii="Arial" w:eastAsia="Times New Roman" w:hAnsi="Arial" w:cs="Arial"/>
          <w:b/>
          <w:bCs/>
          <w:color w:val="333333"/>
          <w:sz w:val="28"/>
          <w:szCs w:val="28"/>
        </w:rPr>
      </w:pPr>
      <w:r>
        <w:rPr>
          <w:rFonts w:ascii="Arial" w:eastAsia="Times New Roman" w:hAnsi="Arial" w:cs="Arial"/>
          <w:b/>
          <w:bCs/>
          <w:color w:val="333333"/>
          <w:sz w:val="28"/>
          <w:szCs w:val="28"/>
        </w:rPr>
        <w:t>__________________________________________________________</w:t>
      </w:r>
    </w:p>
    <w:p w:rsidR="009B4318" w:rsidRDefault="009B4318" w:rsidP="00193CAE">
      <w:pPr>
        <w:spacing w:before="300" w:after="150"/>
        <w:jc w:val="center"/>
        <w:outlineLvl w:val="2"/>
        <w:rPr>
          <w:rFonts w:ascii="Arial" w:eastAsia="Times New Roman" w:hAnsi="Arial" w:cs="Arial"/>
          <w:b/>
          <w:bCs/>
          <w:color w:val="333333"/>
          <w:sz w:val="36"/>
          <w:szCs w:val="36"/>
        </w:rPr>
      </w:pPr>
    </w:p>
    <w:p w:rsidR="00193CAE" w:rsidRPr="00193CAE" w:rsidRDefault="00193CAE" w:rsidP="00193CAE">
      <w:pPr>
        <w:spacing w:before="300" w:after="150"/>
        <w:jc w:val="center"/>
        <w:outlineLvl w:val="2"/>
        <w:rPr>
          <w:rFonts w:ascii="Arial" w:eastAsia="Times New Roman" w:hAnsi="Arial" w:cs="Arial"/>
          <w:b/>
          <w:bCs/>
          <w:color w:val="333333"/>
          <w:sz w:val="36"/>
          <w:szCs w:val="36"/>
        </w:rPr>
      </w:pPr>
      <w:r w:rsidRPr="00193CAE">
        <w:rPr>
          <w:rFonts w:ascii="Arial" w:eastAsia="Times New Roman" w:hAnsi="Arial" w:cs="Arial"/>
          <w:b/>
          <w:bCs/>
          <w:color w:val="333333"/>
          <w:sz w:val="36"/>
          <w:szCs w:val="36"/>
        </w:rPr>
        <w:t>SHAW et al.</w:t>
      </w:r>
      <w:r w:rsidRPr="00193CAE">
        <w:rPr>
          <w:rFonts w:ascii="Arial" w:eastAsia="Times New Roman" w:hAnsi="Arial" w:cs="Arial"/>
          <w:b/>
          <w:bCs/>
          <w:i/>
          <w:iCs/>
          <w:color w:val="333333"/>
          <w:sz w:val="27"/>
          <w:szCs w:val="27"/>
        </w:rPr>
        <w:t> </w:t>
      </w:r>
      <w:r w:rsidRPr="00193CAE">
        <w:rPr>
          <w:rFonts w:ascii="Arial" w:eastAsia="Times New Roman" w:hAnsi="Arial" w:cs="Arial"/>
          <w:b/>
          <w:bCs/>
          <w:i/>
          <w:iCs/>
          <w:color w:val="333333"/>
          <w:sz w:val="36"/>
          <w:szCs w:val="36"/>
        </w:rPr>
        <w:t>v.</w:t>
      </w:r>
      <w:r w:rsidRPr="00193CAE">
        <w:rPr>
          <w:rFonts w:ascii="Arial" w:eastAsia="Times New Roman" w:hAnsi="Arial" w:cs="Arial"/>
          <w:b/>
          <w:bCs/>
          <w:i/>
          <w:iCs/>
          <w:color w:val="333333"/>
          <w:sz w:val="27"/>
          <w:szCs w:val="27"/>
        </w:rPr>
        <w:t> </w:t>
      </w:r>
      <w:r w:rsidRPr="00193CAE">
        <w:rPr>
          <w:rFonts w:ascii="Arial" w:eastAsia="Times New Roman" w:hAnsi="Arial" w:cs="Arial"/>
          <w:b/>
          <w:bCs/>
          <w:color w:val="333333"/>
          <w:sz w:val="36"/>
          <w:szCs w:val="36"/>
        </w:rPr>
        <w:t>RENO, ATTORNEY</w:t>
      </w:r>
      <w:r w:rsidRPr="00193CAE">
        <w:rPr>
          <w:rFonts w:ascii="Arial" w:eastAsia="Times New Roman" w:hAnsi="Arial" w:cs="Arial"/>
          <w:b/>
          <w:bCs/>
          <w:color w:val="333333"/>
          <w:sz w:val="27"/>
          <w:szCs w:val="27"/>
        </w:rPr>
        <w:t> </w:t>
      </w:r>
      <w:r w:rsidRPr="00193CAE">
        <w:rPr>
          <w:rFonts w:ascii="Arial" w:eastAsia="Times New Roman" w:hAnsi="Arial" w:cs="Arial"/>
          <w:b/>
          <w:bCs/>
          <w:color w:val="333333"/>
          <w:sz w:val="36"/>
          <w:szCs w:val="36"/>
        </w:rPr>
        <w:t>GENERAL, et al.</w:t>
      </w:r>
    </w:p>
    <w:p w:rsidR="00193CAE" w:rsidRPr="00193CAE" w:rsidRDefault="00193CAE" w:rsidP="00193CAE">
      <w:pPr>
        <w:spacing w:before="150" w:after="150"/>
        <w:jc w:val="center"/>
        <w:outlineLvl w:val="3"/>
        <w:rPr>
          <w:rFonts w:ascii="Arial" w:eastAsia="Times New Roman" w:hAnsi="Arial" w:cs="Arial"/>
          <w:color w:val="333333"/>
          <w:sz w:val="27"/>
          <w:szCs w:val="27"/>
        </w:rPr>
      </w:pPr>
      <w:r w:rsidRPr="00193CAE">
        <w:rPr>
          <w:rFonts w:ascii="Arial" w:eastAsia="Times New Roman" w:hAnsi="Arial" w:cs="Arial"/>
          <w:color w:val="333333"/>
          <w:sz w:val="27"/>
          <w:szCs w:val="27"/>
        </w:rPr>
        <w:t>Appeal from the United States District Court for the Eastern District of North Carolina</w:t>
      </w:r>
    </w:p>
    <w:p w:rsidR="00193CAE" w:rsidRPr="00193CAE" w:rsidRDefault="00193CAE" w:rsidP="00193CAE">
      <w:pPr>
        <w:spacing w:after="150"/>
        <w:jc w:val="center"/>
        <w:rPr>
          <w:rFonts w:ascii="Arial" w:hAnsi="Arial" w:cs="Arial"/>
          <w:b/>
          <w:bCs/>
          <w:color w:val="333333"/>
        </w:rPr>
      </w:pPr>
      <w:r w:rsidRPr="00193CAE">
        <w:rPr>
          <w:rFonts w:ascii="Arial" w:hAnsi="Arial" w:cs="Arial"/>
          <w:b/>
          <w:bCs/>
          <w:color w:val="333333"/>
        </w:rPr>
        <w:t>Argued April 20, 1993 -- Decided June 28, 1993</w:t>
      </w:r>
    </w:p>
    <w:p w:rsidR="00193CAE" w:rsidRPr="00193CAE" w:rsidRDefault="00193CAE" w:rsidP="00193CAE">
      <w:pPr>
        <w:spacing w:after="150"/>
        <w:ind w:left="896" w:right="896"/>
        <w:rPr>
          <w:rFonts w:ascii="Arial" w:hAnsi="Arial" w:cs="Arial"/>
          <w:color w:val="333333"/>
        </w:rPr>
      </w:pPr>
      <w:r w:rsidRPr="00193CAE">
        <w:rPr>
          <w:rFonts w:ascii="Arial" w:hAnsi="Arial" w:cs="Arial"/>
          <w:color w:val="333333"/>
        </w:rPr>
        <w:t>To comply with §5 of the Voting Rights Act of 1965--which prohibits a covered jurisdiction from implementing changes in a "standard, practice, or procedure with respect to voting" without federal authorization--North Carolina submitted to the Attorney General a congressional reapportionment plan with one majority black district. The Attorney General objected to the plan on the ground that a second district could have been created to give effect to minority voting strength in the State's south central to southeastern region. The State's revised plan contained a second majority black district in the north central region. The new district stretches approximately 160 miles along Interstate 85 and, for much of its length, is no wider that the I 85 corridor. Appellants, five North Carolina residents, filed this action against appellee state and federal officials, claiming that the State had created an unconstitutional racial gerrymander in violation of, among other things, the </w:t>
      </w:r>
      <w:hyperlink r:id="rId29" w:history="1">
        <w:r w:rsidRPr="00193CAE">
          <w:rPr>
            <w:rFonts w:ascii="Arial" w:hAnsi="Arial" w:cs="Arial"/>
            <w:color w:val="005C72"/>
            <w:u w:val="single"/>
          </w:rPr>
          <w:t>Fourteenth Amendment</w:t>
        </w:r>
      </w:hyperlink>
      <w:r w:rsidRPr="00193CAE">
        <w:rPr>
          <w:rFonts w:ascii="Arial" w:hAnsi="Arial" w:cs="Arial"/>
          <w:color w:val="333333"/>
        </w:rPr>
        <w:t>. They alleged that the two districts concentrated a majority of black voters arbitrarily without regard to considerations such as compactness, contiguousness, geographical boundaries, or political subdivisions, in order to create congressional districts along racial lines and to assure the election of two black representatives. The three judge District Court held that it lacked subject matter jurisdiction over the federal appellees. It also dismissed the complaint against the state appellees, finding, among other things, that, under </w:t>
      </w:r>
      <w:r w:rsidRPr="00193CAE">
        <w:rPr>
          <w:rFonts w:ascii="Arial" w:hAnsi="Arial" w:cs="Arial"/>
          <w:i/>
          <w:iCs/>
          <w:color w:val="333333"/>
        </w:rPr>
        <w:t>United Jewish Organizations of Williamsburgh, Inc.</w:t>
      </w:r>
      <w:r w:rsidRPr="00193CAE">
        <w:rPr>
          <w:rFonts w:ascii="Arial" w:hAnsi="Arial" w:cs="Arial"/>
          <w:color w:val="333333"/>
        </w:rPr>
        <w:t> v. </w:t>
      </w:r>
      <w:r w:rsidRPr="00193CAE">
        <w:rPr>
          <w:rFonts w:ascii="Arial" w:hAnsi="Arial" w:cs="Arial"/>
          <w:i/>
          <w:iCs/>
          <w:color w:val="333333"/>
        </w:rPr>
        <w:t>Carey,</w:t>
      </w:r>
      <w:r w:rsidRPr="00193CAE">
        <w:rPr>
          <w:rFonts w:ascii="Arial" w:hAnsi="Arial" w:cs="Arial"/>
          <w:color w:val="333333"/>
        </w:rPr>
        <w:t> </w:t>
      </w:r>
      <w:hyperlink r:id="rId30" w:history="1">
        <w:r w:rsidRPr="00193CAE">
          <w:rPr>
            <w:rFonts w:ascii="Arial" w:hAnsi="Arial" w:cs="Arial"/>
            <w:color w:val="005C72"/>
            <w:u w:val="single"/>
          </w:rPr>
          <w:t>430 U.S. 144</w:t>
        </w:r>
      </w:hyperlink>
      <w:r w:rsidRPr="00193CAE">
        <w:rPr>
          <w:rFonts w:ascii="Arial" w:hAnsi="Arial" w:cs="Arial"/>
          <w:color w:val="333333"/>
        </w:rPr>
        <w:t> </w:t>
      </w:r>
      <w:r w:rsidRPr="00193CAE">
        <w:rPr>
          <w:rFonts w:ascii="Arial" w:hAnsi="Arial" w:cs="Arial"/>
          <w:i/>
          <w:iCs/>
          <w:color w:val="333333"/>
        </w:rPr>
        <w:t>(UJO),</w:t>
      </w:r>
      <w:r w:rsidRPr="00193CAE">
        <w:rPr>
          <w:rFonts w:ascii="Arial" w:hAnsi="Arial" w:cs="Arial"/>
          <w:color w:val="333333"/>
        </w:rPr>
        <w:t> appellants had failed to state an equal protection claim because favoring minority voters was not discriminatory in the constitutional sense and the plan did not lead to proportional underrepresentation of white voters statewide. </w:t>
      </w:r>
    </w:p>
    <w:p w:rsidR="00193CAE" w:rsidRPr="00193CAE" w:rsidRDefault="00193CAE" w:rsidP="00193CAE">
      <w:pPr>
        <w:spacing w:after="150"/>
        <w:ind w:left="896" w:right="896"/>
        <w:rPr>
          <w:rFonts w:ascii="Arial" w:hAnsi="Arial" w:cs="Arial"/>
          <w:color w:val="333333"/>
        </w:rPr>
      </w:pPr>
      <w:r w:rsidRPr="00193CAE">
        <w:rPr>
          <w:rFonts w:ascii="Arial" w:hAnsi="Arial" w:cs="Arial"/>
          <w:i/>
          <w:iCs/>
          <w:color w:val="333333"/>
        </w:rPr>
        <w:t>Held:</w:t>
      </w:r>
    </w:p>
    <w:p w:rsidR="00193CAE" w:rsidRPr="00193CAE" w:rsidRDefault="00193CAE" w:rsidP="00193CAE">
      <w:pPr>
        <w:spacing w:after="150"/>
        <w:ind w:left="896" w:right="896"/>
        <w:rPr>
          <w:rFonts w:ascii="Arial" w:hAnsi="Arial" w:cs="Arial"/>
          <w:color w:val="333333"/>
        </w:rPr>
      </w:pPr>
      <w:r w:rsidRPr="00193CAE">
        <w:rPr>
          <w:rFonts w:ascii="Arial" w:hAnsi="Arial" w:cs="Arial"/>
          <w:color w:val="333333"/>
        </w:rPr>
        <w:t>1. Appellants have stated a claim under the Equal Protection Clause by alleging that the reapportionment scheme is so irrational on its face that it can be understood only as an effort to segregate voters into separate districts on the basis of race, and that the separation lacks su</w:t>
      </w:r>
      <w:r>
        <w:rPr>
          <w:rFonts w:ascii="Arial" w:hAnsi="Arial" w:cs="Arial"/>
          <w:color w:val="333333"/>
        </w:rPr>
        <w:t>fficient justification.</w:t>
      </w:r>
    </w:p>
    <w:p w:rsidR="00193CAE" w:rsidRPr="00193CAE" w:rsidRDefault="00193CAE" w:rsidP="00193CAE">
      <w:pPr>
        <w:spacing w:after="150"/>
        <w:ind w:left="896" w:right="896"/>
        <w:rPr>
          <w:rFonts w:ascii="Arial" w:hAnsi="Arial" w:cs="Arial"/>
          <w:color w:val="333333"/>
        </w:rPr>
      </w:pPr>
      <w:r w:rsidRPr="00193CAE">
        <w:rPr>
          <w:rFonts w:ascii="Arial" w:hAnsi="Arial" w:cs="Arial"/>
          <w:color w:val="333333"/>
        </w:rPr>
        <w:t xml:space="preserve">(a) The District Court properly dismissed the claims against the federal appellees. Appellants' racial gerrymandering claims must be </w:t>
      </w:r>
      <w:r w:rsidRPr="00193CAE">
        <w:rPr>
          <w:rFonts w:ascii="Arial" w:hAnsi="Arial" w:cs="Arial"/>
          <w:color w:val="333333"/>
        </w:rPr>
        <w:lastRenderedPageBreak/>
        <w:t>examined against the backdrop of this country's long history of racial dis</w:t>
      </w:r>
      <w:r>
        <w:rPr>
          <w:rFonts w:ascii="Arial" w:hAnsi="Arial" w:cs="Arial"/>
          <w:color w:val="333333"/>
        </w:rPr>
        <w:t xml:space="preserve">crimination in voting. </w:t>
      </w:r>
    </w:p>
    <w:p w:rsidR="00193CAE" w:rsidRPr="00193CAE" w:rsidRDefault="00193CAE" w:rsidP="00193CAE">
      <w:pPr>
        <w:spacing w:after="150"/>
        <w:ind w:left="896" w:right="896"/>
        <w:rPr>
          <w:rFonts w:ascii="Arial" w:hAnsi="Arial" w:cs="Arial"/>
          <w:color w:val="333333"/>
        </w:rPr>
      </w:pPr>
      <w:r w:rsidRPr="00193CAE">
        <w:rPr>
          <w:rFonts w:ascii="Arial" w:hAnsi="Arial" w:cs="Arial"/>
          <w:color w:val="333333"/>
        </w:rPr>
        <w:t>(b) Classifications of citizens based solely on race are by their nature odious to a free people whose institutions are founded upon the doctrine of equality, because they threaten to stigmatize persons by reason of their membership in a racial group and to incite racial hostility. Thus, state legislation that expressly distinguishes among citizens on account of race--whether it contains an explicit distinction or is "unexplainable on grounds other than race," </w:t>
      </w:r>
      <w:r w:rsidRPr="00193CAE">
        <w:rPr>
          <w:rFonts w:ascii="Arial" w:hAnsi="Arial" w:cs="Arial"/>
          <w:i/>
          <w:iCs/>
          <w:color w:val="333333"/>
        </w:rPr>
        <w:t>Arlington Heights</w:t>
      </w:r>
      <w:r w:rsidRPr="00193CAE">
        <w:rPr>
          <w:rFonts w:ascii="Arial" w:hAnsi="Arial" w:cs="Arial"/>
          <w:color w:val="333333"/>
        </w:rPr>
        <w:t> v. </w:t>
      </w:r>
      <w:r w:rsidRPr="00193CAE">
        <w:rPr>
          <w:rFonts w:ascii="Arial" w:hAnsi="Arial" w:cs="Arial"/>
          <w:i/>
          <w:iCs/>
          <w:color w:val="333333"/>
        </w:rPr>
        <w:t>Metropolitan Housing Development Corp.,</w:t>
      </w:r>
      <w:r w:rsidRPr="00193CAE">
        <w:rPr>
          <w:rFonts w:ascii="Arial" w:hAnsi="Arial" w:cs="Arial"/>
          <w:color w:val="333333"/>
        </w:rPr>
        <w:t> </w:t>
      </w:r>
      <w:hyperlink r:id="rId31" w:history="1">
        <w:r w:rsidRPr="00193CAE">
          <w:rPr>
            <w:rFonts w:ascii="Arial" w:hAnsi="Arial" w:cs="Arial"/>
            <w:color w:val="005C72"/>
            <w:u w:val="single"/>
          </w:rPr>
          <w:t>429 U.S. 252</w:t>
        </w:r>
      </w:hyperlink>
      <w:r w:rsidRPr="00193CAE">
        <w:rPr>
          <w:rFonts w:ascii="Arial" w:hAnsi="Arial" w:cs="Arial"/>
          <w:color w:val="333333"/>
        </w:rPr>
        <w:t>, 266--must be narrowly tailored to further a compelling governmental interest. See, </w:t>
      </w:r>
      <w:r w:rsidRPr="00193CAE">
        <w:rPr>
          <w:rFonts w:ascii="Arial" w:hAnsi="Arial" w:cs="Arial"/>
          <w:i/>
          <w:iCs/>
          <w:color w:val="333333"/>
        </w:rPr>
        <w:t>e.g., Wygant</w:t>
      </w:r>
      <w:r w:rsidRPr="00193CAE">
        <w:rPr>
          <w:rFonts w:ascii="Arial" w:hAnsi="Arial" w:cs="Arial"/>
          <w:color w:val="333333"/>
        </w:rPr>
        <w:t> v. </w:t>
      </w:r>
      <w:r w:rsidRPr="00193CAE">
        <w:rPr>
          <w:rFonts w:ascii="Arial" w:hAnsi="Arial" w:cs="Arial"/>
          <w:i/>
          <w:iCs/>
          <w:color w:val="333333"/>
        </w:rPr>
        <w:t>Jackson Bd. of Ed.,</w:t>
      </w:r>
      <w:r w:rsidRPr="00193CAE">
        <w:rPr>
          <w:rFonts w:ascii="Arial" w:hAnsi="Arial" w:cs="Arial"/>
          <w:color w:val="333333"/>
        </w:rPr>
        <w:t> </w:t>
      </w:r>
      <w:hyperlink r:id="rId32" w:history="1">
        <w:r w:rsidRPr="00193CAE">
          <w:rPr>
            <w:rFonts w:ascii="Arial" w:hAnsi="Arial" w:cs="Arial"/>
            <w:color w:val="005C72"/>
            <w:u w:val="single"/>
          </w:rPr>
          <w:t>476 U.S. 267</w:t>
        </w:r>
      </w:hyperlink>
      <w:r w:rsidRPr="00193CAE">
        <w:rPr>
          <w:rFonts w:ascii="Arial" w:hAnsi="Arial" w:cs="Arial"/>
          <w:color w:val="333333"/>
        </w:rPr>
        <w:t>, 277-278 (plurality opinion). Redistricting legislation that is alleged to be so bizarre on its face that it is unexplainable on grounds other than race demands the same close scrutiny, regardless of the motivations underlying its adoption. See, </w:t>
      </w:r>
      <w:r w:rsidRPr="00193CAE">
        <w:rPr>
          <w:rFonts w:ascii="Arial" w:hAnsi="Arial" w:cs="Arial"/>
          <w:i/>
          <w:iCs/>
          <w:color w:val="333333"/>
        </w:rPr>
        <w:t>e.g., Gomillion</w:t>
      </w:r>
      <w:r w:rsidRPr="00193CAE">
        <w:rPr>
          <w:rFonts w:ascii="Arial" w:hAnsi="Arial" w:cs="Arial"/>
          <w:color w:val="333333"/>
        </w:rPr>
        <w:t> v. </w:t>
      </w:r>
      <w:r w:rsidRPr="00193CAE">
        <w:rPr>
          <w:rFonts w:ascii="Arial" w:hAnsi="Arial" w:cs="Arial"/>
          <w:i/>
          <w:iCs/>
          <w:color w:val="333333"/>
        </w:rPr>
        <w:t>Lightfoot,</w:t>
      </w:r>
      <w:r w:rsidRPr="00193CAE">
        <w:rPr>
          <w:rFonts w:ascii="Arial" w:hAnsi="Arial" w:cs="Arial"/>
          <w:color w:val="333333"/>
        </w:rPr>
        <w:t> </w:t>
      </w:r>
      <w:hyperlink r:id="rId33" w:history="1">
        <w:r w:rsidRPr="00193CAE">
          <w:rPr>
            <w:rFonts w:ascii="Arial" w:hAnsi="Arial" w:cs="Arial"/>
            <w:color w:val="005C72"/>
            <w:u w:val="single"/>
          </w:rPr>
          <w:t>364 U.S. 339</w:t>
        </w:r>
      </w:hyperlink>
      <w:r w:rsidRPr="00193CAE">
        <w:rPr>
          <w:rFonts w:ascii="Arial" w:hAnsi="Arial" w:cs="Arial"/>
          <w:color w:val="333333"/>
        </w:rPr>
        <w:t>, 341. That it may be difficult to determine from the face of a single member districting plan that it makes such a distinction does not mean that a racial gerrymander, once established, should receive less scrutiny than other legislation classifying citizens by race. By perpetuating stereotypical notions about members of the same racial group--that they think alike, share the same political interests, and prefer the same candidates--a racial gerrymander may exacerbate the very patterns of racial bloc voting that majority minority districting is sometimes said to counteract. It also sends to elected representatives the message that their primary obligation is to represent only that group's members, rather than their constituency as a whole. Since the holding here makes it unnecessary to decide whether or how a reapportionment plan that, on its face, can be explained in nonracial terms successfully could be challenged, the Court expresses no view on whether the intentional creation of majority minority districts, without more, always gives rise to an eq</w:t>
      </w:r>
      <w:r>
        <w:rPr>
          <w:rFonts w:ascii="Arial" w:hAnsi="Arial" w:cs="Arial"/>
          <w:color w:val="333333"/>
        </w:rPr>
        <w:t xml:space="preserve">ual protection claim. </w:t>
      </w:r>
    </w:p>
    <w:p w:rsidR="00193CAE" w:rsidRPr="00193CAE" w:rsidRDefault="00193CAE" w:rsidP="00193CAE">
      <w:pPr>
        <w:spacing w:after="150"/>
        <w:ind w:left="896" w:right="896"/>
        <w:rPr>
          <w:rFonts w:ascii="Arial" w:hAnsi="Arial" w:cs="Arial"/>
          <w:color w:val="333333"/>
        </w:rPr>
      </w:pPr>
      <w:r w:rsidRPr="00193CAE">
        <w:rPr>
          <w:rFonts w:ascii="Arial" w:hAnsi="Arial" w:cs="Arial"/>
          <w:color w:val="333333"/>
        </w:rPr>
        <w:t>(c) The classification of citizens by race threatens special harms that are not present in this Court's vote dilution cases and thus warrants an analysis different from that used in assessing the validity of at large and multimember gerrymandering schemes. In</w:t>
      </w:r>
      <w:r>
        <w:rPr>
          <w:rFonts w:ascii="Arial" w:hAnsi="Arial" w:cs="Arial"/>
          <w:color w:val="333333"/>
        </w:rPr>
        <w:t xml:space="preserve"> </w:t>
      </w:r>
      <w:r w:rsidRPr="00193CAE">
        <w:rPr>
          <w:rFonts w:ascii="Arial" w:hAnsi="Arial" w:cs="Arial"/>
          <w:color w:val="333333"/>
        </w:rPr>
        <w:t>addition, nothing in the Court's decisions compels the conclusion that racial and political gerrymanders are subject to the same constitutional scrutiny; in fact, this country's long and persistent history of racial discrimination in voting and the Court's Fourteenth Amendment jurisprudence would seem to compel the opposite conclusion. Nor is there any support for the argument that racial gerrymandering poses no constitutional difficulties when the lines drawn favor the minority, since equal protection analysis is not dependent on the race of those burdened or benefited by a particular classification, </w:t>
      </w:r>
      <w:r w:rsidRPr="00193CAE">
        <w:rPr>
          <w:rFonts w:ascii="Arial" w:hAnsi="Arial" w:cs="Arial"/>
          <w:i/>
          <w:iCs/>
          <w:color w:val="333333"/>
        </w:rPr>
        <w:t>Richmond</w:t>
      </w:r>
      <w:r w:rsidRPr="00193CAE">
        <w:rPr>
          <w:rFonts w:ascii="Arial" w:hAnsi="Arial" w:cs="Arial"/>
          <w:color w:val="333333"/>
        </w:rPr>
        <w:t> v. </w:t>
      </w:r>
      <w:r w:rsidRPr="00193CAE">
        <w:rPr>
          <w:rFonts w:ascii="Arial" w:hAnsi="Arial" w:cs="Arial"/>
          <w:i/>
          <w:iCs/>
          <w:color w:val="333333"/>
        </w:rPr>
        <w:t>J. A. Croson Co.,</w:t>
      </w:r>
      <w:r w:rsidRPr="00193CAE">
        <w:rPr>
          <w:rFonts w:ascii="Arial" w:hAnsi="Arial" w:cs="Arial"/>
          <w:color w:val="333333"/>
        </w:rPr>
        <w:t> </w:t>
      </w:r>
      <w:hyperlink r:id="rId34" w:history="1">
        <w:r w:rsidRPr="00193CAE">
          <w:rPr>
            <w:rFonts w:ascii="Arial" w:hAnsi="Arial" w:cs="Arial"/>
            <w:color w:val="005C72"/>
            <w:u w:val="single"/>
          </w:rPr>
          <w:t>488 U.S. 469</w:t>
        </w:r>
      </w:hyperlink>
      <w:r w:rsidRPr="00193CAE">
        <w:rPr>
          <w:rFonts w:ascii="Arial" w:hAnsi="Arial" w:cs="Arial"/>
          <w:color w:val="333333"/>
        </w:rPr>
        <w:t>, 494 (plurality opinion). Finally, the highly fractured decision in </w:t>
      </w:r>
      <w:r w:rsidRPr="00193CAE">
        <w:rPr>
          <w:rFonts w:ascii="Arial" w:hAnsi="Arial" w:cs="Arial"/>
          <w:i/>
          <w:iCs/>
          <w:color w:val="333333"/>
        </w:rPr>
        <w:t>UJO</w:t>
      </w:r>
      <w:r w:rsidRPr="00193CAE">
        <w:rPr>
          <w:rFonts w:ascii="Arial" w:hAnsi="Arial" w:cs="Arial"/>
          <w:color w:val="333333"/>
        </w:rPr>
        <w:t> does not foreclose the claim recognized here, which is analytically distinct from the vote dilution claim made there. Pp. 18-21.</w:t>
      </w:r>
    </w:p>
    <w:p w:rsidR="00193CAE" w:rsidRPr="00193CAE" w:rsidRDefault="00193CAE" w:rsidP="00193CAE">
      <w:pPr>
        <w:spacing w:after="150"/>
        <w:ind w:left="896" w:right="896"/>
        <w:rPr>
          <w:rFonts w:ascii="Arial" w:hAnsi="Arial" w:cs="Arial"/>
          <w:color w:val="333333"/>
        </w:rPr>
      </w:pPr>
      <w:r w:rsidRPr="00193CAE">
        <w:rPr>
          <w:rFonts w:ascii="Arial" w:hAnsi="Arial" w:cs="Arial"/>
          <w:color w:val="333333"/>
        </w:rPr>
        <w:t>2. If, on remand, the allegations of a racial gerrymander are not contradicted, the District Court must determine whether the plan is narrowly tailored to further a compelling governmental interest. A covered jurisdiction's interest in creating majority minority districts in order to comply with the non</w:t>
      </w:r>
      <w:r>
        <w:rPr>
          <w:rFonts w:ascii="Arial" w:hAnsi="Arial" w:cs="Arial"/>
          <w:color w:val="333333"/>
        </w:rPr>
        <w:t>-</w:t>
      </w:r>
      <w:r w:rsidRPr="00193CAE">
        <w:rPr>
          <w:rFonts w:ascii="Arial" w:hAnsi="Arial" w:cs="Arial"/>
          <w:color w:val="333333"/>
        </w:rPr>
        <w:t>retrogression rule under §5 of the Voting Rights Act does not give it </w:t>
      </w:r>
      <w:r w:rsidRPr="00193CAE">
        <w:rPr>
          <w:rFonts w:ascii="Arial" w:hAnsi="Arial" w:cs="Arial"/>
          <w:i/>
          <w:iCs/>
          <w:color w:val="333333"/>
        </w:rPr>
        <w:t>carte blanche</w:t>
      </w:r>
      <w:r w:rsidRPr="00193CAE">
        <w:rPr>
          <w:rFonts w:ascii="Arial" w:hAnsi="Arial" w:cs="Arial"/>
          <w:color w:val="333333"/>
        </w:rPr>
        <w:t> to engage in racial gerrymandering. The parties' arguments about whether the plan was necessary to avoid dilution of black voting strength in violation of §2 of the Act, and whether the State's interpretation of §2 is unconstitutional, were not developed below, and the issues remain open for consideration on remand. It is also unnecessary to decide at this stage of the litigation whether the plan advances a state interest distinct from the Act: eradicating the effects of past racial discrimination. Although the State argues that it had a strong basis for concluding that remedial action was warranted, only three Justices in </w:t>
      </w:r>
      <w:r w:rsidRPr="00193CAE">
        <w:rPr>
          <w:rFonts w:ascii="Arial" w:hAnsi="Arial" w:cs="Arial"/>
          <w:i/>
          <w:iCs/>
          <w:color w:val="333333"/>
        </w:rPr>
        <w:t>UJO</w:t>
      </w:r>
      <w:r w:rsidRPr="00193CAE">
        <w:rPr>
          <w:rFonts w:ascii="Arial" w:hAnsi="Arial" w:cs="Arial"/>
          <w:color w:val="333333"/>
        </w:rPr>
        <w:t> were prepared to say that States have a significant interest in minimizing the consequences of racial bloc voting apart from the Act's requirements and without regard for sound districting principles. Pp. 21-26.</w:t>
      </w:r>
    </w:p>
    <w:p w:rsidR="00193CAE" w:rsidRPr="00193CAE" w:rsidRDefault="00193CAE" w:rsidP="00193CAE">
      <w:pPr>
        <w:spacing w:after="150"/>
        <w:ind w:left="896" w:right="896"/>
        <w:rPr>
          <w:rFonts w:ascii="Arial" w:hAnsi="Arial" w:cs="Arial"/>
          <w:color w:val="333333"/>
        </w:rPr>
      </w:pPr>
      <w:r w:rsidRPr="00193CAE">
        <w:rPr>
          <w:rFonts w:ascii="Arial" w:hAnsi="Arial" w:cs="Arial"/>
          <w:color w:val="333333"/>
        </w:rPr>
        <w:t>3. The Court expresses no view on whether appellants successfully could have challenged a district such as that suggested by the Attorney General or whether their complaint stated a claim under other constitutio</w:t>
      </w:r>
      <w:r>
        <w:rPr>
          <w:rFonts w:ascii="Arial" w:hAnsi="Arial" w:cs="Arial"/>
          <w:color w:val="333333"/>
        </w:rPr>
        <w:t xml:space="preserve">nal provisions. </w:t>
      </w:r>
    </w:p>
    <w:p w:rsidR="00AC26F2" w:rsidRPr="00193CAE" w:rsidRDefault="00AC26F2">
      <w:pPr>
        <w:rPr>
          <w:rFonts w:ascii="Arial" w:hAnsi="Arial" w:cs="Arial"/>
        </w:rPr>
      </w:pPr>
    </w:p>
    <w:sectPr w:rsidR="00AC26F2" w:rsidRPr="00193CAE" w:rsidSect="0086074E">
      <w:footerReference w:type="even" r:id="rId35"/>
      <w:footerReference w:type="default" r:id="rId36"/>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56E" w:rsidRDefault="00DA656E" w:rsidP="00DA656E">
      <w:r>
        <w:separator/>
      </w:r>
    </w:p>
  </w:endnote>
  <w:endnote w:type="continuationSeparator" w:id="0">
    <w:p w:rsidR="00DA656E" w:rsidRDefault="00DA656E" w:rsidP="00DA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56E" w:rsidRDefault="00DA656E" w:rsidP="00BD55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656E" w:rsidRDefault="00DA656E" w:rsidP="00DA65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56E" w:rsidRDefault="00DA656E" w:rsidP="00BD55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A656E" w:rsidRDefault="00DA656E" w:rsidP="00DA656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56E" w:rsidRDefault="00DA656E" w:rsidP="00DA656E">
      <w:r>
        <w:separator/>
      </w:r>
    </w:p>
  </w:footnote>
  <w:footnote w:type="continuationSeparator" w:id="0">
    <w:p w:rsidR="00DA656E" w:rsidRDefault="00DA656E" w:rsidP="00DA65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E49E0"/>
    <w:multiLevelType w:val="hybridMultilevel"/>
    <w:tmpl w:val="9B7C6B84"/>
    <w:lvl w:ilvl="0" w:tplc="DE3C2B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AE"/>
    <w:rsid w:val="00193CAE"/>
    <w:rsid w:val="0086074E"/>
    <w:rsid w:val="009B4318"/>
    <w:rsid w:val="00A84F35"/>
    <w:rsid w:val="00AC26F2"/>
    <w:rsid w:val="00DA6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AB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93CAE"/>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193CAE"/>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3CAE"/>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93CAE"/>
    <w:rPr>
      <w:rFonts w:ascii="Times New Roman" w:hAnsi="Times New Roman" w:cs="Times New Roman"/>
      <w:b/>
      <w:bCs/>
    </w:rPr>
  </w:style>
  <w:style w:type="character" w:styleId="Hyperlink">
    <w:name w:val="Hyperlink"/>
    <w:basedOn w:val="DefaultParagraphFont"/>
    <w:uiPriority w:val="99"/>
    <w:semiHidden/>
    <w:unhideWhenUsed/>
    <w:rsid w:val="00193CAE"/>
    <w:rPr>
      <w:color w:val="0000FF"/>
      <w:u w:val="single"/>
    </w:rPr>
  </w:style>
  <w:style w:type="character" w:customStyle="1" w:styleId="apple-converted-space">
    <w:name w:val="apple-converted-space"/>
    <w:basedOn w:val="DefaultParagraphFont"/>
    <w:rsid w:val="00193CAE"/>
  </w:style>
  <w:style w:type="paragraph" w:customStyle="1" w:styleId="docket">
    <w:name w:val="docket"/>
    <w:basedOn w:val="Normal"/>
    <w:rsid w:val="00193CAE"/>
    <w:pPr>
      <w:spacing w:before="100" w:beforeAutospacing="1" w:after="100" w:afterAutospacing="1"/>
    </w:pPr>
    <w:rPr>
      <w:rFonts w:ascii="Times New Roman" w:hAnsi="Times New Roman" w:cs="Times New Roman"/>
      <w:sz w:val="20"/>
      <w:szCs w:val="20"/>
    </w:rPr>
  </w:style>
  <w:style w:type="paragraph" w:customStyle="1" w:styleId="bodytext">
    <w:name w:val="bodytext"/>
    <w:basedOn w:val="Normal"/>
    <w:rsid w:val="00193CAE"/>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DA656E"/>
    <w:pPr>
      <w:ind w:left="720"/>
      <w:contextualSpacing/>
    </w:pPr>
  </w:style>
  <w:style w:type="paragraph" w:styleId="Footer">
    <w:name w:val="footer"/>
    <w:basedOn w:val="Normal"/>
    <w:link w:val="FooterChar"/>
    <w:uiPriority w:val="99"/>
    <w:unhideWhenUsed/>
    <w:rsid w:val="00DA656E"/>
    <w:pPr>
      <w:tabs>
        <w:tab w:val="center" w:pos="4320"/>
        <w:tab w:val="right" w:pos="8640"/>
      </w:tabs>
    </w:pPr>
  </w:style>
  <w:style w:type="character" w:customStyle="1" w:styleId="FooterChar">
    <w:name w:val="Footer Char"/>
    <w:basedOn w:val="DefaultParagraphFont"/>
    <w:link w:val="Footer"/>
    <w:uiPriority w:val="99"/>
    <w:rsid w:val="00DA656E"/>
  </w:style>
  <w:style w:type="character" w:styleId="PageNumber">
    <w:name w:val="page number"/>
    <w:basedOn w:val="DefaultParagraphFont"/>
    <w:uiPriority w:val="99"/>
    <w:semiHidden/>
    <w:unhideWhenUsed/>
    <w:rsid w:val="00DA65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93CAE"/>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193CAE"/>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3CAE"/>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93CAE"/>
    <w:rPr>
      <w:rFonts w:ascii="Times New Roman" w:hAnsi="Times New Roman" w:cs="Times New Roman"/>
      <w:b/>
      <w:bCs/>
    </w:rPr>
  </w:style>
  <w:style w:type="character" w:styleId="Hyperlink">
    <w:name w:val="Hyperlink"/>
    <w:basedOn w:val="DefaultParagraphFont"/>
    <w:uiPriority w:val="99"/>
    <w:semiHidden/>
    <w:unhideWhenUsed/>
    <w:rsid w:val="00193CAE"/>
    <w:rPr>
      <w:color w:val="0000FF"/>
      <w:u w:val="single"/>
    </w:rPr>
  </w:style>
  <w:style w:type="character" w:customStyle="1" w:styleId="apple-converted-space">
    <w:name w:val="apple-converted-space"/>
    <w:basedOn w:val="DefaultParagraphFont"/>
    <w:rsid w:val="00193CAE"/>
  </w:style>
  <w:style w:type="paragraph" w:customStyle="1" w:styleId="docket">
    <w:name w:val="docket"/>
    <w:basedOn w:val="Normal"/>
    <w:rsid w:val="00193CAE"/>
    <w:pPr>
      <w:spacing w:before="100" w:beforeAutospacing="1" w:after="100" w:afterAutospacing="1"/>
    </w:pPr>
    <w:rPr>
      <w:rFonts w:ascii="Times New Roman" w:hAnsi="Times New Roman" w:cs="Times New Roman"/>
      <w:sz w:val="20"/>
      <w:szCs w:val="20"/>
    </w:rPr>
  </w:style>
  <w:style w:type="paragraph" w:customStyle="1" w:styleId="bodytext">
    <w:name w:val="bodytext"/>
    <w:basedOn w:val="Normal"/>
    <w:rsid w:val="00193CAE"/>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DA656E"/>
    <w:pPr>
      <w:ind w:left="720"/>
      <w:contextualSpacing/>
    </w:pPr>
  </w:style>
  <w:style w:type="paragraph" w:styleId="Footer">
    <w:name w:val="footer"/>
    <w:basedOn w:val="Normal"/>
    <w:link w:val="FooterChar"/>
    <w:uiPriority w:val="99"/>
    <w:unhideWhenUsed/>
    <w:rsid w:val="00DA656E"/>
    <w:pPr>
      <w:tabs>
        <w:tab w:val="center" w:pos="4320"/>
        <w:tab w:val="right" w:pos="8640"/>
      </w:tabs>
    </w:pPr>
  </w:style>
  <w:style w:type="character" w:customStyle="1" w:styleId="FooterChar">
    <w:name w:val="Footer Char"/>
    <w:basedOn w:val="DefaultParagraphFont"/>
    <w:link w:val="Footer"/>
    <w:uiPriority w:val="99"/>
    <w:rsid w:val="00DA656E"/>
  </w:style>
  <w:style w:type="character" w:styleId="PageNumber">
    <w:name w:val="page number"/>
    <w:basedOn w:val="DefaultParagraphFont"/>
    <w:uiPriority w:val="99"/>
    <w:semiHidden/>
    <w:unhideWhenUsed/>
    <w:rsid w:val="00DA6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5405">
      <w:bodyDiv w:val="1"/>
      <w:marLeft w:val="0"/>
      <w:marRight w:val="0"/>
      <w:marTop w:val="0"/>
      <w:marBottom w:val="0"/>
      <w:divBdr>
        <w:top w:val="none" w:sz="0" w:space="0" w:color="auto"/>
        <w:left w:val="none" w:sz="0" w:space="0" w:color="auto"/>
        <w:bottom w:val="none" w:sz="0" w:space="0" w:color="auto"/>
        <w:right w:val="none" w:sz="0" w:space="0" w:color="auto"/>
      </w:divBdr>
    </w:div>
    <w:div w:id="852963189">
      <w:bodyDiv w:val="1"/>
      <w:marLeft w:val="0"/>
      <w:marRight w:val="0"/>
      <w:marTop w:val="0"/>
      <w:marBottom w:val="0"/>
      <w:divBdr>
        <w:top w:val="none" w:sz="0" w:space="0" w:color="auto"/>
        <w:left w:val="none" w:sz="0" w:space="0" w:color="auto"/>
        <w:bottom w:val="none" w:sz="0" w:space="0" w:color="auto"/>
        <w:right w:val="none" w:sz="0" w:space="0" w:color="auto"/>
      </w:divBdr>
    </w:div>
    <w:div w:id="1000158666">
      <w:bodyDiv w:val="1"/>
      <w:marLeft w:val="0"/>
      <w:marRight w:val="0"/>
      <w:marTop w:val="0"/>
      <w:marBottom w:val="0"/>
      <w:divBdr>
        <w:top w:val="none" w:sz="0" w:space="0" w:color="auto"/>
        <w:left w:val="none" w:sz="0" w:space="0" w:color="auto"/>
        <w:bottom w:val="none" w:sz="0" w:space="0" w:color="auto"/>
        <w:right w:val="none" w:sz="0" w:space="0" w:color="auto"/>
      </w:divBdr>
    </w:div>
    <w:div w:id="19309178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n.wikipedia.org/wiki/Strict_scrutiny" TargetMode="External"/><Relationship Id="rId21" Type="http://schemas.openxmlformats.org/officeDocument/2006/relationships/hyperlink" Target="https://en.wikipedia.org/wiki/Compelling_government_interest" TargetMode="External"/><Relationship Id="rId22" Type="http://schemas.openxmlformats.org/officeDocument/2006/relationships/hyperlink" Target="https://en.wikipedia.org/wiki/Narrowly_tailored" TargetMode="External"/><Relationship Id="rId23" Type="http://schemas.openxmlformats.org/officeDocument/2006/relationships/hyperlink" Target="https://en.wikipedia.org/wiki/Least_restrictive_means" TargetMode="External"/><Relationship Id="rId24" Type="http://schemas.openxmlformats.org/officeDocument/2006/relationships/hyperlink" Target="https://en.wikipedia.org/wiki/George_Henry_White" TargetMode="External"/><Relationship Id="rId25" Type="http://schemas.openxmlformats.org/officeDocument/2006/relationships/hyperlink" Target="https://en.wikipedia.org/wiki/North_Carolina%27s_2nd_congressional_district" TargetMode="External"/><Relationship Id="rId26" Type="http://schemas.openxmlformats.org/officeDocument/2006/relationships/hyperlink" Target="https://en.wikipedia.org/wiki/Shaw_v._Reno" TargetMode="External"/><Relationship Id="rId27" Type="http://schemas.openxmlformats.org/officeDocument/2006/relationships/hyperlink" Target="https://en.wikipedia.org/wiki/Chicago_Tribune" TargetMode="External"/><Relationship Id="rId28" Type="http://schemas.openxmlformats.org/officeDocument/2006/relationships/hyperlink" Target="https://en.wikipedia.org/wiki/Affirmative_action" TargetMode="External"/><Relationship Id="rId29" Type="http://schemas.openxmlformats.org/officeDocument/2006/relationships/hyperlink" Target="https://www.law.cornell.edu/supct-cgi/get-const?amendmentxiv.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law.cornell.edu/supct-cgi/get-us-cite?430+144" TargetMode="External"/><Relationship Id="rId31" Type="http://schemas.openxmlformats.org/officeDocument/2006/relationships/hyperlink" Target="https://www.law.cornell.edu/supct-cgi/get-us-cite?429+252" TargetMode="External"/><Relationship Id="rId32" Type="http://schemas.openxmlformats.org/officeDocument/2006/relationships/hyperlink" Target="https://www.law.cornell.edu/supct-cgi/get-us-cite?476+267" TargetMode="External"/><Relationship Id="rId9" Type="http://schemas.openxmlformats.org/officeDocument/2006/relationships/hyperlink" Target="https://en.wikipedia.org/wiki/United_States_Report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wikipedia.org/wiki/List_of_United_States_Supreme_Court_cases,_volume_509" TargetMode="External"/><Relationship Id="rId33" Type="http://schemas.openxmlformats.org/officeDocument/2006/relationships/hyperlink" Target="https://www.law.cornell.edu/supct-cgi/get-us-cite?364+339" TargetMode="External"/><Relationship Id="rId34" Type="http://schemas.openxmlformats.org/officeDocument/2006/relationships/hyperlink" Target="https://www.law.cornell.edu/supct-cgi/get-us-cite?488+469" TargetMode="Externa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https://en.wikipedia.org/wiki/United_States_Supreme_Court" TargetMode="External"/><Relationship Id="rId11" Type="http://schemas.openxmlformats.org/officeDocument/2006/relationships/hyperlink" Target="https://en.wikipedia.org/wiki/Redistricting" TargetMode="External"/><Relationship Id="rId12" Type="http://schemas.openxmlformats.org/officeDocument/2006/relationships/hyperlink" Target="https://en.wikipedia.org/wiki/Gerrymandering" TargetMode="External"/><Relationship Id="rId13" Type="http://schemas.openxmlformats.org/officeDocument/2006/relationships/hyperlink" Target="https://en.wikipedia.org/wiki/Strict_scrutiny" TargetMode="External"/><Relationship Id="rId14" Type="http://schemas.openxmlformats.org/officeDocument/2006/relationships/hyperlink" Target="https://en.wikipedia.org/wiki/Equal_protection_clause" TargetMode="External"/><Relationship Id="rId15" Type="http://schemas.openxmlformats.org/officeDocument/2006/relationships/hyperlink" Target="https://en.wikipedia.org/wiki/Voting_Rights_Act_of_1965" TargetMode="External"/><Relationship Id="rId16" Type="http://schemas.openxmlformats.org/officeDocument/2006/relationships/hyperlink" Target="https://en.wikipedia.org/wiki/United_States_Census,_2000" TargetMode="External"/><Relationship Id="rId17" Type="http://schemas.openxmlformats.org/officeDocument/2006/relationships/hyperlink" Target="https://en.wikipedia.org/wiki/Sandra_Day_O%27Connor" TargetMode="External"/><Relationship Id="rId18" Type="http://schemas.openxmlformats.org/officeDocument/2006/relationships/hyperlink" Target="https://en.wikipedia.org/wiki/Apartheid" TargetMode="External"/><Relationship Id="rId19" Type="http://schemas.openxmlformats.org/officeDocument/2006/relationships/hyperlink" Target="https://en.wikipedia.org/wiki/Fourteenth_Amendment_to_the_United_States_Constitution"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1895</Words>
  <Characters>10807</Characters>
  <Application>Microsoft Macintosh Word</Application>
  <DocSecurity>0</DocSecurity>
  <Lines>90</Lines>
  <Paragraphs>25</Paragraphs>
  <ScaleCrop>false</ScaleCrop>
  <Company>SBBC</Company>
  <LinksUpToDate>false</LinksUpToDate>
  <CharactersWithSpaces>12677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2</cp:revision>
  <dcterms:created xsi:type="dcterms:W3CDTF">2018-06-24T00:09:00Z</dcterms:created>
  <dcterms:modified xsi:type="dcterms:W3CDTF">2018-06-24T00:09:00Z</dcterms:modified>
</cp:coreProperties>
</file>