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Default="0087562D" w:rsidP="0087562D">
      <w:pPr>
        <w:jc w:val="center"/>
        <w:rPr>
          <w:rFonts w:ascii="Arial" w:hAnsi="Arial" w:cs="Arial"/>
          <w:b/>
          <w:sz w:val="28"/>
          <w:szCs w:val="28"/>
        </w:rPr>
      </w:pPr>
      <w:proofErr w:type="spellStart"/>
      <w:r>
        <w:rPr>
          <w:rFonts w:ascii="Arial" w:hAnsi="Arial" w:cs="Arial"/>
          <w:b/>
          <w:sz w:val="28"/>
          <w:szCs w:val="28"/>
        </w:rPr>
        <w:t>McDONALD</w:t>
      </w:r>
      <w:proofErr w:type="spellEnd"/>
      <w:r>
        <w:rPr>
          <w:rFonts w:ascii="Arial" w:hAnsi="Arial" w:cs="Arial"/>
          <w:b/>
          <w:sz w:val="28"/>
          <w:szCs w:val="28"/>
        </w:rPr>
        <w:t xml:space="preserve"> versus CITY OF CHICAGO  (2010)</w:t>
      </w:r>
    </w:p>
    <w:p w:rsidR="0087562D" w:rsidRDefault="0087562D" w:rsidP="0087562D">
      <w:pPr>
        <w:jc w:val="center"/>
        <w:rPr>
          <w:rFonts w:ascii="Arial" w:hAnsi="Arial" w:cs="Arial"/>
          <w:b/>
          <w:sz w:val="28"/>
          <w:szCs w:val="28"/>
        </w:rPr>
      </w:pPr>
      <w:r>
        <w:rPr>
          <w:rFonts w:ascii="Arial" w:hAnsi="Arial" w:cs="Arial"/>
          <w:b/>
          <w:i/>
          <w:sz w:val="28"/>
          <w:szCs w:val="28"/>
        </w:rPr>
        <w:t>(Gun Jurisdiction / 2</w:t>
      </w:r>
      <w:r w:rsidRPr="0087562D">
        <w:rPr>
          <w:rFonts w:ascii="Arial" w:hAnsi="Arial" w:cs="Arial"/>
          <w:b/>
          <w:i/>
          <w:sz w:val="28"/>
          <w:szCs w:val="28"/>
          <w:vertAlign w:val="superscript"/>
        </w:rPr>
        <w:t>nd</w:t>
      </w:r>
      <w:r>
        <w:rPr>
          <w:rFonts w:ascii="Arial" w:hAnsi="Arial" w:cs="Arial"/>
          <w:b/>
          <w:i/>
          <w:sz w:val="28"/>
          <w:szCs w:val="28"/>
        </w:rPr>
        <w:t xml:space="preserve"> Amendment)</w:t>
      </w:r>
    </w:p>
    <w:p w:rsidR="0087562D" w:rsidRDefault="0087562D" w:rsidP="0087562D">
      <w:pPr>
        <w:jc w:val="center"/>
        <w:rPr>
          <w:rFonts w:ascii="Arial" w:hAnsi="Arial" w:cs="Arial"/>
          <w:b/>
          <w:sz w:val="28"/>
          <w:szCs w:val="28"/>
        </w:rPr>
      </w:pPr>
    </w:p>
    <w:p w:rsidR="0087562D" w:rsidRDefault="0087562D" w:rsidP="0087562D">
      <w:pPr>
        <w:rPr>
          <w:rFonts w:ascii="Arial" w:hAnsi="Arial" w:cs="Arial"/>
          <w:b/>
        </w:rPr>
      </w:pPr>
      <w:r>
        <w:rPr>
          <w:rFonts w:ascii="Arial" w:hAnsi="Arial" w:cs="Arial"/>
          <w:b/>
        </w:rPr>
        <w:t>Background</w:t>
      </w:r>
      <w:r w:rsidRPr="0087562D">
        <w:rPr>
          <w:rFonts w:ascii="Arial" w:hAnsi="Arial" w:cs="Arial"/>
          <w:b/>
        </w:rPr>
        <w:t>:</w:t>
      </w:r>
    </w:p>
    <w:p w:rsidR="0087562D" w:rsidRDefault="0087562D" w:rsidP="0087562D">
      <w:pPr>
        <w:rPr>
          <w:rFonts w:ascii="Arial" w:hAnsi="Arial" w:cs="Arial"/>
          <w:b/>
        </w:rPr>
      </w:pPr>
    </w:p>
    <w:p w:rsidR="0087562D" w:rsidRPr="0087562D" w:rsidRDefault="0087562D" w:rsidP="0087562D">
      <w:pPr>
        <w:rPr>
          <w:rFonts w:ascii="Arial" w:eastAsia="Times New Roman" w:hAnsi="Arial" w:cs="Arial"/>
        </w:rPr>
      </w:pPr>
      <w:r w:rsidRPr="0087562D">
        <w:rPr>
          <w:rFonts w:ascii="Arial" w:eastAsia="Times New Roman" w:hAnsi="Arial" w:cs="Arial"/>
          <w:shd w:val="clear" w:color="auto" w:fill="FFFFFF"/>
        </w:rPr>
        <w:t>In the 2010 case </w:t>
      </w:r>
      <w:r w:rsidRPr="0087562D">
        <w:rPr>
          <w:rFonts w:ascii="Arial" w:eastAsia="Times New Roman" w:hAnsi="Arial" w:cs="Arial"/>
          <w:i/>
          <w:iCs/>
        </w:rPr>
        <w:t>McDonald v. City of Chicago</w:t>
      </w:r>
      <w:r w:rsidRPr="0087562D">
        <w:rPr>
          <w:rFonts w:ascii="Arial" w:eastAsia="Times New Roman" w:hAnsi="Arial" w:cs="Arial"/>
          <w:shd w:val="clear" w:color="auto" w:fill="FFFFFF"/>
        </w:rPr>
        <w:t>, Chicago resident Otis McDonald, a 76-year-old (in 2010) retired maintenance engineer, had lived in the </w:t>
      </w:r>
      <w:hyperlink r:id="rId5" w:tooltip="Morgan Park, Chicago" w:history="1">
        <w:r w:rsidRPr="0087562D">
          <w:rPr>
            <w:rFonts w:ascii="Arial" w:eastAsia="Times New Roman" w:hAnsi="Arial" w:cs="Arial"/>
          </w:rPr>
          <w:t>Morgan Park</w:t>
        </w:r>
      </w:hyperlink>
      <w:r w:rsidRPr="0087562D">
        <w:rPr>
          <w:rFonts w:ascii="Arial" w:eastAsia="Times New Roman" w:hAnsi="Arial" w:cs="Arial"/>
          <w:shd w:val="clear" w:color="auto" w:fill="FFFFFF"/>
        </w:rPr>
        <w:t> neighborhood since buying a house there in 1971. McDonald decried the decline of his neighborhood, describing it as being taken over by </w:t>
      </w:r>
      <w:hyperlink r:id="rId6" w:tooltip="Gang" w:history="1">
        <w:r w:rsidRPr="0087562D">
          <w:rPr>
            <w:rFonts w:ascii="Arial" w:eastAsia="Times New Roman" w:hAnsi="Arial" w:cs="Arial"/>
          </w:rPr>
          <w:t>gangs</w:t>
        </w:r>
      </w:hyperlink>
      <w:r w:rsidRPr="0087562D">
        <w:rPr>
          <w:rFonts w:ascii="Arial" w:eastAsia="Times New Roman" w:hAnsi="Arial" w:cs="Arial"/>
          <w:shd w:val="clear" w:color="auto" w:fill="FFFFFF"/>
        </w:rPr>
        <w:t> and </w:t>
      </w:r>
      <w:hyperlink r:id="rId7" w:tooltip="Drug dealers" w:history="1">
        <w:r w:rsidRPr="0087562D">
          <w:rPr>
            <w:rFonts w:ascii="Arial" w:eastAsia="Times New Roman" w:hAnsi="Arial" w:cs="Arial"/>
          </w:rPr>
          <w:t>drug dealers</w:t>
        </w:r>
      </w:hyperlink>
      <w:r w:rsidRPr="0087562D">
        <w:rPr>
          <w:rFonts w:ascii="Arial" w:eastAsia="Times New Roman" w:hAnsi="Arial" w:cs="Arial"/>
          <w:shd w:val="clear" w:color="auto" w:fill="FFFFFF"/>
        </w:rPr>
        <w:t>. His lawn was regularly littered with refuse and his home and garage had been broken into a combined five times, with the most recent robbery committed by a man McDonald recognized from his own neighborhood.</w:t>
      </w:r>
      <w:r>
        <w:rPr>
          <w:rFonts w:ascii="Arial" w:eastAsia="Times New Roman" w:hAnsi="Arial" w:cs="Arial"/>
          <w:vertAlign w:val="superscript"/>
        </w:rPr>
        <w:t xml:space="preserve"> </w:t>
      </w:r>
      <w:r w:rsidRPr="0087562D">
        <w:rPr>
          <w:rFonts w:ascii="Arial" w:eastAsia="Times New Roman" w:hAnsi="Arial" w:cs="Arial"/>
          <w:shd w:val="clear" w:color="auto" w:fill="FFFFFF"/>
        </w:rPr>
        <w:t xml:space="preserve"> An experienced hunter, McDonald legally owned shotguns, but believed them too unwieldy in the event of a robbery, and wanted to purchase a handgun for personal home defense. Due to Chicago's requirement that all firearms in the city be registered, yet refusing all handgun registrations after 1982 when a citywide handgun ban was passed, he was unable to legally own a handgun. As a result, in 2008, he joined three other Chicago residents in filing a </w:t>
      </w:r>
      <w:proofErr w:type="gramStart"/>
      <w:r w:rsidRPr="0087562D">
        <w:rPr>
          <w:rFonts w:ascii="Arial" w:eastAsia="Times New Roman" w:hAnsi="Arial" w:cs="Arial"/>
          <w:shd w:val="clear" w:color="auto" w:fill="FFFFFF"/>
        </w:rPr>
        <w:t>lawsuit which</w:t>
      </w:r>
      <w:proofErr w:type="gramEnd"/>
      <w:r w:rsidRPr="0087562D">
        <w:rPr>
          <w:rFonts w:ascii="Arial" w:eastAsia="Times New Roman" w:hAnsi="Arial" w:cs="Arial"/>
          <w:shd w:val="clear" w:color="auto" w:fill="FFFFFF"/>
        </w:rPr>
        <w:t xml:space="preserve"> became </w:t>
      </w:r>
      <w:r w:rsidRPr="0087562D">
        <w:rPr>
          <w:rFonts w:ascii="Arial" w:eastAsia="Times New Roman" w:hAnsi="Arial" w:cs="Arial"/>
          <w:i/>
          <w:iCs/>
        </w:rPr>
        <w:t>McDonald v. Chicago</w:t>
      </w:r>
      <w:r w:rsidRPr="0087562D">
        <w:rPr>
          <w:rFonts w:ascii="Arial" w:eastAsia="Times New Roman" w:hAnsi="Arial" w:cs="Arial"/>
          <w:shd w:val="clear" w:color="auto" w:fill="FFFFFF"/>
        </w:rPr>
        <w:t>.</w:t>
      </w:r>
      <w:r w:rsidRPr="0087562D">
        <w:rPr>
          <w:rFonts w:ascii="Arial" w:eastAsia="Times New Roman" w:hAnsi="Arial" w:cs="Arial"/>
        </w:rPr>
        <w:t xml:space="preserve"> </w:t>
      </w:r>
    </w:p>
    <w:p w:rsidR="0087562D" w:rsidRDefault="0087562D" w:rsidP="0087562D">
      <w:pPr>
        <w:rPr>
          <w:rFonts w:ascii="Arial" w:hAnsi="Arial" w:cs="Arial"/>
        </w:rPr>
      </w:pPr>
    </w:p>
    <w:p w:rsidR="0087562D" w:rsidRDefault="0087562D" w:rsidP="0087562D">
      <w:pPr>
        <w:rPr>
          <w:rFonts w:ascii="Arial" w:hAnsi="Arial" w:cs="Arial"/>
          <w:b/>
        </w:rPr>
      </w:pPr>
      <w:r>
        <w:rPr>
          <w:rFonts w:ascii="Arial" w:hAnsi="Arial" w:cs="Arial"/>
          <w:b/>
        </w:rPr>
        <w:t>Majority Opinion:</w:t>
      </w:r>
    </w:p>
    <w:p w:rsidR="0087562D" w:rsidRDefault="0087562D" w:rsidP="0087562D">
      <w:pPr>
        <w:rPr>
          <w:rFonts w:ascii="Arial" w:hAnsi="Arial" w:cs="Arial"/>
          <w:b/>
        </w:rPr>
      </w:pPr>
    </w:p>
    <w:p w:rsidR="0087562D" w:rsidRPr="0087562D" w:rsidRDefault="0087562D" w:rsidP="0087562D">
      <w:pPr>
        <w:pStyle w:val="NormalWeb"/>
        <w:spacing w:before="120" w:beforeAutospacing="0" w:after="120" w:afterAutospacing="0"/>
        <w:rPr>
          <w:rFonts w:ascii="Arial" w:hAnsi="Arial" w:cs="Arial"/>
          <w:sz w:val="24"/>
          <w:szCs w:val="24"/>
        </w:rPr>
      </w:pPr>
      <w:r w:rsidRPr="0087562D">
        <w:rPr>
          <w:rFonts w:ascii="Arial" w:hAnsi="Arial" w:cs="Arial"/>
          <w:b/>
          <w:bCs/>
          <w:i/>
          <w:iCs/>
          <w:sz w:val="24"/>
          <w:szCs w:val="24"/>
        </w:rPr>
        <w:t>McDonald v. Chicago</w:t>
      </w:r>
      <w:r w:rsidRPr="0087562D">
        <w:rPr>
          <w:rFonts w:ascii="Arial" w:hAnsi="Arial" w:cs="Arial"/>
          <w:sz w:val="24"/>
          <w:szCs w:val="24"/>
        </w:rPr>
        <w:t>, 561</w:t>
      </w:r>
      <w:r w:rsidRPr="0087562D">
        <w:rPr>
          <w:rStyle w:val="apple-converted-space"/>
          <w:rFonts w:ascii="Arial" w:hAnsi="Arial" w:cs="Arial"/>
          <w:sz w:val="24"/>
          <w:szCs w:val="24"/>
        </w:rPr>
        <w:t> </w:t>
      </w:r>
      <w:hyperlink r:id="rId8" w:tooltip="United States Reports" w:history="1">
        <w:r w:rsidRPr="0087562D">
          <w:rPr>
            <w:rStyle w:val="Hyperlink"/>
            <w:rFonts w:ascii="Arial" w:hAnsi="Arial" w:cs="Arial"/>
            <w:color w:val="auto"/>
            <w:sz w:val="24"/>
            <w:szCs w:val="24"/>
            <w:u w:val="none"/>
          </w:rPr>
          <w:t>U.S.</w:t>
        </w:r>
      </w:hyperlink>
      <w:r w:rsidRPr="0087562D">
        <w:rPr>
          <w:rStyle w:val="apple-converted-space"/>
          <w:rFonts w:ascii="Arial" w:hAnsi="Arial" w:cs="Arial"/>
          <w:sz w:val="24"/>
          <w:szCs w:val="24"/>
        </w:rPr>
        <w:t> </w:t>
      </w:r>
      <w:hyperlink r:id="rId9" w:history="1">
        <w:r w:rsidRPr="0087562D">
          <w:rPr>
            <w:rStyle w:val="Hyperlink"/>
            <w:rFonts w:ascii="Arial" w:hAnsi="Arial" w:cs="Arial"/>
            <w:color w:val="auto"/>
            <w:sz w:val="24"/>
            <w:szCs w:val="24"/>
            <w:u w:val="none"/>
          </w:rPr>
          <w:t>742</w:t>
        </w:r>
      </w:hyperlink>
      <w:r w:rsidRPr="0087562D">
        <w:rPr>
          <w:rStyle w:val="apple-converted-space"/>
          <w:rFonts w:ascii="Arial" w:hAnsi="Arial" w:cs="Arial"/>
          <w:sz w:val="24"/>
          <w:szCs w:val="24"/>
        </w:rPr>
        <w:t> </w:t>
      </w:r>
      <w:r w:rsidRPr="0087562D">
        <w:rPr>
          <w:rFonts w:ascii="Arial" w:hAnsi="Arial" w:cs="Arial"/>
          <w:sz w:val="24"/>
          <w:szCs w:val="24"/>
        </w:rPr>
        <w:t>(2010), is a landmark</w:t>
      </w:r>
      <w:r w:rsidRPr="0087562D">
        <w:rPr>
          <w:rStyle w:val="apple-converted-space"/>
          <w:rFonts w:ascii="Arial" w:hAnsi="Arial" w:cs="Arial"/>
          <w:sz w:val="24"/>
          <w:szCs w:val="24"/>
        </w:rPr>
        <w:t> </w:t>
      </w:r>
      <w:r w:rsidRPr="0087562D">
        <w:rPr>
          <w:rFonts w:ascii="Arial" w:hAnsi="Arial" w:cs="Arial"/>
          <w:sz w:val="24"/>
          <w:szCs w:val="24"/>
        </w:rPr>
        <w:t>decision of the</w:t>
      </w:r>
      <w:r w:rsidRPr="0087562D">
        <w:rPr>
          <w:rStyle w:val="apple-converted-space"/>
          <w:rFonts w:ascii="Arial" w:hAnsi="Arial" w:cs="Arial"/>
          <w:sz w:val="24"/>
          <w:szCs w:val="24"/>
        </w:rPr>
        <w:t> </w:t>
      </w:r>
      <w:hyperlink r:id="rId10" w:tooltip="Supreme Court of the United States" w:history="1">
        <w:r w:rsidRPr="0087562D">
          <w:rPr>
            <w:rStyle w:val="Hyperlink"/>
            <w:rFonts w:ascii="Arial" w:hAnsi="Arial" w:cs="Arial"/>
            <w:color w:val="auto"/>
            <w:sz w:val="24"/>
            <w:szCs w:val="24"/>
            <w:u w:val="none"/>
          </w:rPr>
          <w:t>Supreme Court of the United States</w:t>
        </w:r>
      </w:hyperlink>
      <w:r w:rsidRPr="0087562D">
        <w:rPr>
          <w:rStyle w:val="apple-converted-space"/>
          <w:rFonts w:ascii="Arial" w:hAnsi="Arial" w:cs="Arial"/>
          <w:sz w:val="24"/>
          <w:szCs w:val="24"/>
        </w:rPr>
        <w:t> </w:t>
      </w:r>
      <w:r w:rsidRPr="0087562D">
        <w:rPr>
          <w:rFonts w:ascii="Arial" w:hAnsi="Arial" w:cs="Arial"/>
          <w:sz w:val="24"/>
          <w:szCs w:val="24"/>
        </w:rPr>
        <w:t>that found that the right of an individual to "keep and bear arms" is protected under the</w:t>
      </w:r>
      <w:r w:rsidRPr="0087562D">
        <w:rPr>
          <w:rStyle w:val="apple-converted-space"/>
          <w:rFonts w:ascii="Arial" w:hAnsi="Arial" w:cs="Arial"/>
          <w:sz w:val="24"/>
          <w:szCs w:val="24"/>
        </w:rPr>
        <w:t> </w:t>
      </w:r>
      <w:hyperlink r:id="rId11" w:tooltip="Second Amendment to the United States Constitution" w:history="1">
        <w:r w:rsidRPr="0087562D">
          <w:rPr>
            <w:rStyle w:val="Hyperlink"/>
            <w:rFonts w:ascii="Arial" w:hAnsi="Arial" w:cs="Arial"/>
            <w:color w:val="auto"/>
            <w:sz w:val="24"/>
            <w:szCs w:val="24"/>
            <w:u w:val="none"/>
          </w:rPr>
          <w:t>Second Amendment</w:t>
        </w:r>
      </w:hyperlink>
      <w:r w:rsidRPr="0087562D">
        <w:rPr>
          <w:rStyle w:val="apple-converted-space"/>
          <w:rFonts w:ascii="Arial" w:hAnsi="Arial" w:cs="Arial"/>
          <w:sz w:val="24"/>
          <w:szCs w:val="24"/>
        </w:rPr>
        <w:t> </w:t>
      </w:r>
      <w:r w:rsidRPr="0087562D">
        <w:rPr>
          <w:rFonts w:ascii="Arial" w:hAnsi="Arial" w:cs="Arial"/>
          <w:sz w:val="24"/>
          <w:szCs w:val="24"/>
        </w:rPr>
        <w:t>is</w:t>
      </w:r>
      <w:r>
        <w:rPr>
          <w:rFonts w:ascii="Arial" w:hAnsi="Arial" w:cs="Arial"/>
          <w:sz w:val="24"/>
          <w:szCs w:val="24"/>
        </w:rPr>
        <w:t xml:space="preserve"> incorporated </w:t>
      </w:r>
      <w:r w:rsidRPr="0087562D">
        <w:rPr>
          <w:rFonts w:ascii="Arial" w:hAnsi="Arial" w:cs="Arial"/>
          <w:sz w:val="24"/>
          <w:szCs w:val="24"/>
        </w:rPr>
        <w:t>by the</w:t>
      </w:r>
      <w:r w:rsidRPr="0087562D">
        <w:rPr>
          <w:rStyle w:val="apple-converted-space"/>
          <w:rFonts w:ascii="Arial" w:hAnsi="Arial" w:cs="Arial"/>
          <w:sz w:val="24"/>
          <w:szCs w:val="24"/>
        </w:rPr>
        <w:t> </w:t>
      </w:r>
      <w:hyperlink r:id="rId12" w:anchor="Due_Process_Clause" w:tooltip="Fourteenth Amendment to the United States Constitution" w:history="1">
        <w:r w:rsidRPr="0087562D">
          <w:rPr>
            <w:rStyle w:val="Hyperlink"/>
            <w:rFonts w:ascii="Arial" w:hAnsi="Arial" w:cs="Arial"/>
            <w:color w:val="auto"/>
            <w:sz w:val="24"/>
            <w:szCs w:val="24"/>
            <w:u w:val="none"/>
          </w:rPr>
          <w:t>Due Process Clause of the Fourteenth Amendment</w:t>
        </w:r>
      </w:hyperlink>
      <w:r w:rsidRPr="0087562D">
        <w:rPr>
          <w:rStyle w:val="apple-converted-space"/>
          <w:rFonts w:ascii="Arial" w:hAnsi="Arial" w:cs="Arial"/>
          <w:sz w:val="24"/>
          <w:szCs w:val="24"/>
        </w:rPr>
        <w:t> </w:t>
      </w:r>
      <w:r w:rsidRPr="0087562D">
        <w:rPr>
          <w:rFonts w:ascii="Arial" w:hAnsi="Arial" w:cs="Arial"/>
          <w:sz w:val="24"/>
          <w:szCs w:val="24"/>
        </w:rPr>
        <w:t>against the</w:t>
      </w:r>
      <w:r w:rsidRPr="0087562D">
        <w:rPr>
          <w:rStyle w:val="apple-converted-space"/>
          <w:rFonts w:ascii="Arial" w:hAnsi="Arial" w:cs="Arial"/>
          <w:sz w:val="24"/>
          <w:szCs w:val="24"/>
        </w:rPr>
        <w:t> </w:t>
      </w:r>
      <w:hyperlink r:id="rId13" w:tooltip="U.S. state" w:history="1">
        <w:r w:rsidRPr="0087562D">
          <w:rPr>
            <w:rStyle w:val="Hyperlink"/>
            <w:rFonts w:ascii="Arial" w:hAnsi="Arial" w:cs="Arial"/>
            <w:color w:val="auto"/>
            <w:sz w:val="24"/>
            <w:szCs w:val="24"/>
            <w:u w:val="none"/>
          </w:rPr>
          <w:t>states</w:t>
        </w:r>
      </w:hyperlink>
      <w:r w:rsidRPr="0087562D">
        <w:rPr>
          <w:rFonts w:ascii="Arial" w:hAnsi="Arial" w:cs="Arial"/>
          <w:sz w:val="24"/>
          <w:szCs w:val="24"/>
        </w:rPr>
        <w:t>. The decision cleared up the uncertainty left in the wake of</w:t>
      </w:r>
      <w:r w:rsidRPr="0087562D">
        <w:rPr>
          <w:rStyle w:val="apple-converted-space"/>
          <w:rFonts w:ascii="Arial" w:hAnsi="Arial" w:cs="Arial"/>
          <w:sz w:val="24"/>
          <w:szCs w:val="24"/>
        </w:rPr>
        <w:t> </w:t>
      </w:r>
      <w:hyperlink r:id="rId14" w:tooltip="District of Columbia v. Heller" w:history="1">
        <w:r w:rsidRPr="0087562D">
          <w:rPr>
            <w:rStyle w:val="Hyperlink"/>
            <w:rFonts w:ascii="Arial" w:hAnsi="Arial" w:cs="Arial"/>
            <w:i/>
            <w:iCs/>
            <w:color w:val="auto"/>
            <w:sz w:val="24"/>
            <w:szCs w:val="24"/>
            <w:u w:val="none"/>
          </w:rPr>
          <w:t>District of Columbia v. Heller</w:t>
        </w:r>
      </w:hyperlink>
      <w:r w:rsidRPr="0087562D">
        <w:rPr>
          <w:rStyle w:val="apple-converted-space"/>
          <w:rFonts w:ascii="Arial" w:hAnsi="Arial" w:cs="Arial"/>
          <w:sz w:val="24"/>
          <w:szCs w:val="24"/>
        </w:rPr>
        <w:t> </w:t>
      </w:r>
      <w:r w:rsidRPr="0087562D">
        <w:rPr>
          <w:rFonts w:ascii="Arial" w:hAnsi="Arial" w:cs="Arial"/>
          <w:sz w:val="24"/>
          <w:szCs w:val="24"/>
        </w:rPr>
        <w:t>as to the scope of</w:t>
      </w:r>
      <w:r w:rsidRPr="0087562D">
        <w:rPr>
          <w:rStyle w:val="apple-converted-space"/>
          <w:rFonts w:ascii="Arial" w:hAnsi="Arial" w:cs="Arial"/>
          <w:sz w:val="24"/>
          <w:szCs w:val="24"/>
        </w:rPr>
        <w:t> </w:t>
      </w:r>
      <w:hyperlink r:id="rId15" w:tooltip="Gun politics in the United States" w:history="1">
        <w:r w:rsidRPr="0087562D">
          <w:rPr>
            <w:rStyle w:val="Hyperlink"/>
            <w:rFonts w:ascii="Arial" w:hAnsi="Arial" w:cs="Arial"/>
            <w:color w:val="auto"/>
            <w:sz w:val="24"/>
            <w:szCs w:val="24"/>
            <w:u w:val="none"/>
          </w:rPr>
          <w:t>gun rights</w:t>
        </w:r>
      </w:hyperlink>
      <w:r w:rsidRPr="0087562D">
        <w:rPr>
          <w:rStyle w:val="apple-converted-space"/>
          <w:rFonts w:ascii="Arial" w:hAnsi="Arial" w:cs="Arial"/>
          <w:sz w:val="24"/>
          <w:szCs w:val="24"/>
        </w:rPr>
        <w:t> </w:t>
      </w:r>
      <w:r w:rsidRPr="0087562D">
        <w:rPr>
          <w:rFonts w:ascii="Arial" w:hAnsi="Arial" w:cs="Arial"/>
          <w:sz w:val="24"/>
          <w:szCs w:val="24"/>
        </w:rPr>
        <w:t>in regard to the states.</w:t>
      </w:r>
    </w:p>
    <w:p w:rsidR="0087562D" w:rsidRPr="0087562D" w:rsidRDefault="0087562D" w:rsidP="0087562D">
      <w:pPr>
        <w:pStyle w:val="NormalWeb"/>
        <w:spacing w:before="120" w:beforeAutospacing="0" w:after="120" w:afterAutospacing="0"/>
        <w:rPr>
          <w:rFonts w:ascii="Arial" w:hAnsi="Arial" w:cs="Arial"/>
          <w:sz w:val="24"/>
          <w:szCs w:val="24"/>
        </w:rPr>
      </w:pPr>
      <w:r w:rsidRPr="0087562D">
        <w:rPr>
          <w:rFonts w:ascii="Arial" w:hAnsi="Arial" w:cs="Arial"/>
          <w:sz w:val="24"/>
          <w:szCs w:val="24"/>
        </w:rPr>
        <w:t>Initially the</w:t>
      </w:r>
      <w:r w:rsidRPr="0087562D">
        <w:rPr>
          <w:rStyle w:val="apple-converted-space"/>
          <w:rFonts w:ascii="Arial" w:hAnsi="Arial" w:cs="Arial"/>
          <w:sz w:val="24"/>
          <w:szCs w:val="24"/>
        </w:rPr>
        <w:t> </w:t>
      </w:r>
      <w:hyperlink r:id="rId16" w:tooltip="Court of Appeals for the Seventh Circuit" w:history="1">
        <w:r w:rsidRPr="0087562D">
          <w:rPr>
            <w:rStyle w:val="Hyperlink"/>
            <w:rFonts w:ascii="Arial" w:hAnsi="Arial" w:cs="Arial"/>
            <w:color w:val="auto"/>
            <w:sz w:val="24"/>
            <w:szCs w:val="24"/>
            <w:u w:val="none"/>
          </w:rPr>
          <w:t>Court of Appeals for the Seventh Circuit</w:t>
        </w:r>
      </w:hyperlink>
      <w:r w:rsidRPr="0087562D">
        <w:rPr>
          <w:rStyle w:val="apple-converted-space"/>
          <w:rFonts w:ascii="Arial" w:hAnsi="Arial" w:cs="Arial"/>
          <w:sz w:val="24"/>
          <w:szCs w:val="24"/>
        </w:rPr>
        <w:t> </w:t>
      </w:r>
      <w:r w:rsidRPr="0087562D">
        <w:rPr>
          <w:rFonts w:ascii="Arial" w:hAnsi="Arial" w:cs="Arial"/>
          <w:sz w:val="24"/>
          <w:szCs w:val="24"/>
        </w:rPr>
        <w:t>had upheld a Chicago ordinance banning the possession of handguns as well as other gun regulations affecting rifles and shotguns, citing</w:t>
      </w:r>
      <w:r w:rsidRPr="0087562D">
        <w:rPr>
          <w:rStyle w:val="apple-converted-space"/>
          <w:rFonts w:ascii="Arial" w:hAnsi="Arial" w:cs="Arial"/>
          <w:sz w:val="24"/>
          <w:szCs w:val="24"/>
        </w:rPr>
        <w:t> </w:t>
      </w:r>
      <w:hyperlink r:id="rId17" w:tooltip="United States v. Cruikshank" w:history="1">
        <w:r w:rsidRPr="0087562D">
          <w:rPr>
            <w:rStyle w:val="Hyperlink"/>
            <w:rFonts w:ascii="Arial" w:hAnsi="Arial" w:cs="Arial"/>
            <w:i/>
            <w:iCs/>
            <w:color w:val="auto"/>
            <w:sz w:val="24"/>
            <w:szCs w:val="24"/>
            <w:u w:val="none"/>
          </w:rPr>
          <w:t>United States v. Cruikshank</w:t>
        </w:r>
      </w:hyperlink>
      <w:r w:rsidRPr="0087562D">
        <w:rPr>
          <w:rFonts w:ascii="Arial" w:hAnsi="Arial" w:cs="Arial"/>
          <w:sz w:val="24"/>
          <w:szCs w:val="24"/>
        </w:rPr>
        <w:t>,</w:t>
      </w:r>
      <w:r w:rsidRPr="0087562D">
        <w:rPr>
          <w:rStyle w:val="apple-converted-space"/>
          <w:rFonts w:ascii="Arial" w:hAnsi="Arial" w:cs="Arial"/>
          <w:sz w:val="24"/>
          <w:szCs w:val="24"/>
        </w:rPr>
        <w:t> </w:t>
      </w:r>
      <w:hyperlink r:id="rId18" w:tooltip="Presser v. Illinois" w:history="1">
        <w:r w:rsidRPr="0087562D">
          <w:rPr>
            <w:rStyle w:val="Hyperlink"/>
            <w:rFonts w:ascii="Arial" w:hAnsi="Arial" w:cs="Arial"/>
            <w:i/>
            <w:iCs/>
            <w:color w:val="auto"/>
            <w:sz w:val="24"/>
            <w:szCs w:val="24"/>
            <w:u w:val="none"/>
          </w:rPr>
          <w:t>Presser v. Illinois</w:t>
        </w:r>
      </w:hyperlink>
      <w:r w:rsidRPr="0087562D">
        <w:rPr>
          <w:rFonts w:ascii="Arial" w:hAnsi="Arial" w:cs="Arial"/>
          <w:sz w:val="24"/>
          <w:szCs w:val="24"/>
        </w:rPr>
        <w:t>, and</w:t>
      </w:r>
      <w:r w:rsidRPr="0087562D">
        <w:rPr>
          <w:rStyle w:val="apple-converted-space"/>
          <w:rFonts w:ascii="Arial" w:hAnsi="Arial" w:cs="Arial"/>
          <w:sz w:val="24"/>
          <w:szCs w:val="24"/>
        </w:rPr>
        <w:t> </w:t>
      </w:r>
      <w:hyperlink r:id="rId19" w:anchor="Miller_v._Texas" w:tooltip="Second Amendment to the United States Constitution" w:history="1">
        <w:r w:rsidRPr="0087562D">
          <w:rPr>
            <w:rStyle w:val="Hyperlink"/>
            <w:rFonts w:ascii="Arial" w:hAnsi="Arial" w:cs="Arial"/>
            <w:i/>
            <w:iCs/>
            <w:color w:val="auto"/>
            <w:sz w:val="24"/>
            <w:szCs w:val="24"/>
            <w:u w:val="none"/>
          </w:rPr>
          <w:t>Miller v. Texas</w:t>
        </w:r>
      </w:hyperlink>
      <w:r w:rsidRPr="0087562D">
        <w:rPr>
          <w:rFonts w:ascii="Arial" w:hAnsi="Arial" w:cs="Arial"/>
          <w:sz w:val="24"/>
          <w:szCs w:val="24"/>
        </w:rPr>
        <w:t>.</w:t>
      </w:r>
      <w:r w:rsidRPr="0087562D">
        <w:rPr>
          <w:rStyle w:val="apple-converted-space"/>
          <w:rFonts w:ascii="Arial" w:hAnsi="Arial" w:cs="Arial"/>
          <w:sz w:val="24"/>
          <w:szCs w:val="24"/>
        </w:rPr>
        <w:t> </w:t>
      </w:r>
      <w:proofErr w:type="gramStart"/>
      <w:r w:rsidRPr="0087562D">
        <w:rPr>
          <w:rFonts w:ascii="Arial" w:hAnsi="Arial" w:cs="Arial"/>
          <w:sz w:val="24"/>
          <w:szCs w:val="24"/>
        </w:rPr>
        <w:t>The petition for certiorari was filed by</w:t>
      </w:r>
      <w:r w:rsidRPr="0087562D">
        <w:rPr>
          <w:rStyle w:val="apple-converted-space"/>
          <w:rFonts w:ascii="Arial" w:hAnsi="Arial" w:cs="Arial"/>
          <w:sz w:val="24"/>
          <w:szCs w:val="24"/>
        </w:rPr>
        <w:t> </w:t>
      </w:r>
      <w:hyperlink r:id="rId20" w:tooltip="Alan Gura" w:history="1">
        <w:r w:rsidRPr="0087562D">
          <w:rPr>
            <w:rStyle w:val="Hyperlink"/>
            <w:rFonts w:ascii="Arial" w:hAnsi="Arial" w:cs="Arial"/>
            <w:color w:val="auto"/>
            <w:sz w:val="24"/>
            <w:szCs w:val="24"/>
            <w:u w:val="none"/>
          </w:rPr>
          <w:t xml:space="preserve">Alan </w:t>
        </w:r>
        <w:proofErr w:type="spellStart"/>
        <w:r w:rsidRPr="0087562D">
          <w:rPr>
            <w:rStyle w:val="Hyperlink"/>
            <w:rFonts w:ascii="Arial" w:hAnsi="Arial" w:cs="Arial"/>
            <w:color w:val="auto"/>
            <w:sz w:val="24"/>
            <w:szCs w:val="24"/>
            <w:u w:val="none"/>
          </w:rPr>
          <w:t>Gura</w:t>
        </w:r>
        <w:proofErr w:type="spellEnd"/>
      </w:hyperlink>
      <w:r w:rsidRPr="0087562D">
        <w:rPr>
          <w:rFonts w:ascii="Arial" w:hAnsi="Arial" w:cs="Arial"/>
          <w:sz w:val="24"/>
          <w:szCs w:val="24"/>
        </w:rPr>
        <w:t>, the attorney who had successfully argued</w:t>
      </w:r>
      <w:r w:rsidRPr="0087562D">
        <w:rPr>
          <w:rStyle w:val="apple-converted-space"/>
          <w:rFonts w:ascii="Arial" w:hAnsi="Arial" w:cs="Arial"/>
          <w:sz w:val="24"/>
          <w:szCs w:val="24"/>
        </w:rPr>
        <w:t> </w:t>
      </w:r>
      <w:r w:rsidRPr="0087562D">
        <w:rPr>
          <w:rFonts w:ascii="Arial" w:hAnsi="Arial" w:cs="Arial"/>
          <w:i/>
          <w:iCs/>
          <w:sz w:val="24"/>
          <w:szCs w:val="24"/>
        </w:rPr>
        <w:t>Heller</w:t>
      </w:r>
      <w:proofErr w:type="gramEnd"/>
      <w:r w:rsidR="0069717C">
        <w:rPr>
          <w:rFonts w:ascii="Arial" w:hAnsi="Arial" w:cs="Arial"/>
          <w:sz w:val="24"/>
          <w:szCs w:val="24"/>
        </w:rPr>
        <w:t xml:space="preserve">. </w:t>
      </w:r>
      <w:r w:rsidRPr="0087562D">
        <w:rPr>
          <w:rFonts w:ascii="Arial" w:hAnsi="Arial" w:cs="Arial"/>
          <w:sz w:val="24"/>
          <w:szCs w:val="24"/>
        </w:rPr>
        <w:t>The</w:t>
      </w:r>
      <w:r w:rsidRPr="0087562D">
        <w:rPr>
          <w:rStyle w:val="apple-converted-space"/>
          <w:rFonts w:ascii="Arial" w:hAnsi="Arial" w:cs="Arial"/>
          <w:sz w:val="24"/>
          <w:szCs w:val="24"/>
        </w:rPr>
        <w:t> </w:t>
      </w:r>
      <w:hyperlink r:id="rId21" w:tooltip="Second Amendment Foundation" w:history="1">
        <w:r w:rsidRPr="0087562D">
          <w:rPr>
            <w:rStyle w:val="Hyperlink"/>
            <w:rFonts w:ascii="Arial" w:hAnsi="Arial" w:cs="Arial"/>
            <w:color w:val="auto"/>
            <w:sz w:val="24"/>
            <w:szCs w:val="24"/>
            <w:u w:val="none"/>
          </w:rPr>
          <w:t>Second Amendment Foundation</w:t>
        </w:r>
      </w:hyperlink>
      <w:r w:rsidRPr="0087562D">
        <w:rPr>
          <w:rStyle w:val="apple-converted-space"/>
          <w:rFonts w:ascii="Arial" w:hAnsi="Arial" w:cs="Arial"/>
          <w:sz w:val="24"/>
          <w:szCs w:val="24"/>
        </w:rPr>
        <w:t> </w:t>
      </w:r>
      <w:r w:rsidRPr="0087562D">
        <w:rPr>
          <w:rFonts w:ascii="Arial" w:hAnsi="Arial" w:cs="Arial"/>
          <w:sz w:val="24"/>
          <w:szCs w:val="24"/>
        </w:rPr>
        <w:t>and the</w:t>
      </w:r>
      <w:r w:rsidR="0069717C">
        <w:rPr>
          <w:rFonts w:ascii="Arial" w:hAnsi="Arial" w:cs="Arial"/>
          <w:sz w:val="24"/>
          <w:szCs w:val="24"/>
        </w:rPr>
        <w:t xml:space="preserve"> Illinois State Rifle Association </w:t>
      </w:r>
      <w:r w:rsidRPr="0087562D">
        <w:rPr>
          <w:rFonts w:ascii="Arial" w:hAnsi="Arial" w:cs="Arial"/>
          <w:sz w:val="24"/>
          <w:szCs w:val="24"/>
        </w:rPr>
        <w:t>sponsored the litigation on behalf of several Chicago residents, including retiree Otis McDonald.</w:t>
      </w:r>
    </w:p>
    <w:p w:rsidR="0087562D" w:rsidRDefault="0087562D" w:rsidP="0087562D">
      <w:pPr>
        <w:pStyle w:val="NormalWeb"/>
        <w:spacing w:before="120" w:beforeAutospacing="0" w:after="120" w:afterAutospacing="0"/>
        <w:rPr>
          <w:rFonts w:ascii="Arial" w:hAnsi="Arial" w:cs="Arial"/>
          <w:sz w:val="24"/>
          <w:szCs w:val="24"/>
        </w:rPr>
      </w:pPr>
      <w:r w:rsidRPr="0087562D">
        <w:rPr>
          <w:rFonts w:ascii="Arial" w:hAnsi="Arial" w:cs="Arial"/>
          <w:sz w:val="24"/>
          <w:szCs w:val="24"/>
        </w:rPr>
        <w:t>The</w:t>
      </w:r>
      <w:r w:rsidRPr="0087562D">
        <w:rPr>
          <w:rStyle w:val="apple-converted-space"/>
          <w:rFonts w:ascii="Arial" w:hAnsi="Arial" w:cs="Arial"/>
          <w:sz w:val="24"/>
          <w:szCs w:val="24"/>
        </w:rPr>
        <w:t> </w:t>
      </w:r>
      <w:hyperlink r:id="rId22" w:tooltip="Oral argument in the United States" w:history="1">
        <w:r w:rsidRPr="00A83372">
          <w:rPr>
            <w:rStyle w:val="Hyperlink"/>
            <w:rFonts w:ascii="Arial" w:hAnsi="Arial" w:cs="Arial"/>
            <w:color w:val="auto"/>
            <w:sz w:val="24"/>
            <w:szCs w:val="24"/>
            <w:u w:val="none"/>
          </w:rPr>
          <w:t>oral arguments</w:t>
        </w:r>
      </w:hyperlink>
      <w:r w:rsidRPr="0087562D">
        <w:rPr>
          <w:rStyle w:val="apple-converted-space"/>
          <w:rFonts w:ascii="Arial" w:hAnsi="Arial" w:cs="Arial"/>
          <w:sz w:val="24"/>
          <w:szCs w:val="24"/>
        </w:rPr>
        <w:t> </w:t>
      </w:r>
      <w:r w:rsidRPr="0087562D">
        <w:rPr>
          <w:rFonts w:ascii="Arial" w:hAnsi="Arial" w:cs="Arial"/>
          <w:sz w:val="24"/>
          <w:szCs w:val="24"/>
        </w:rPr>
        <w:t>took place on March 2, 2010.</w:t>
      </w:r>
      <w:r w:rsidR="00A83372">
        <w:rPr>
          <w:rFonts w:ascii="Arial" w:hAnsi="Arial" w:cs="Arial"/>
          <w:sz w:val="24"/>
          <w:szCs w:val="24"/>
          <w:vertAlign w:val="superscript"/>
        </w:rPr>
        <w:t xml:space="preserve"> </w:t>
      </w:r>
      <w:r w:rsidRPr="0087562D">
        <w:rPr>
          <w:rStyle w:val="apple-converted-space"/>
          <w:rFonts w:ascii="Arial" w:hAnsi="Arial" w:cs="Arial"/>
          <w:sz w:val="24"/>
          <w:szCs w:val="24"/>
        </w:rPr>
        <w:t> </w:t>
      </w:r>
      <w:r w:rsidRPr="0087562D">
        <w:rPr>
          <w:rFonts w:ascii="Arial" w:hAnsi="Arial" w:cs="Arial"/>
          <w:sz w:val="24"/>
          <w:szCs w:val="24"/>
        </w:rPr>
        <w:t>On June 28, 2010, the Supreme Court, in a 5–4 decision, reversed the Seventh Circuit's decision, holding that the</w:t>
      </w:r>
      <w:r w:rsidRPr="0087562D">
        <w:rPr>
          <w:rStyle w:val="apple-converted-space"/>
          <w:rFonts w:ascii="Arial" w:hAnsi="Arial" w:cs="Arial"/>
          <w:sz w:val="24"/>
          <w:szCs w:val="24"/>
        </w:rPr>
        <w:t> </w:t>
      </w:r>
      <w:hyperlink r:id="rId23" w:tooltip="Second Amendment to the United States Constitution" w:history="1">
        <w:r w:rsidRPr="00A83372">
          <w:rPr>
            <w:rStyle w:val="Hyperlink"/>
            <w:rFonts w:ascii="Arial" w:hAnsi="Arial" w:cs="Arial"/>
            <w:color w:val="auto"/>
            <w:sz w:val="24"/>
            <w:szCs w:val="24"/>
            <w:u w:val="none"/>
          </w:rPr>
          <w:t>Second Amendment</w:t>
        </w:r>
      </w:hyperlink>
      <w:r w:rsidRPr="0087562D">
        <w:rPr>
          <w:rStyle w:val="apple-converted-space"/>
          <w:rFonts w:ascii="Arial" w:hAnsi="Arial" w:cs="Arial"/>
          <w:sz w:val="24"/>
          <w:szCs w:val="24"/>
        </w:rPr>
        <w:t> </w:t>
      </w:r>
      <w:r w:rsidRPr="0087562D">
        <w:rPr>
          <w:rFonts w:ascii="Arial" w:hAnsi="Arial" w:cs="Arial"/>
          <w:sz w:val="24"/>
          <w:szCs w:val="24"/>
        </w:rPr>
        <w:t>was incorporated under the</w:t>
      </w:r>
      <w:r w:rsidR="00A83372">
        <w:rPr>
          <w:rStyle w:val="apple-converted-space"/>
          <w:rFonts w:ascii="Arial" w:hAnsi="Arial" w:cs="Arial"/>
          <w:sz w:val="24"/>
          <w:szCs w:val="24"/>
        </w:rPr>
        <w:t xml:space="preserve"> </w:t>
      </w:r>
      <w:r w:rsidRPr="00A83372">
        <w:rPr>
          <w:rFonts w:ascii="Arial" w:hAnsi="Arial" w:cs="Arial"/>
          <w:sz w:val="24"/>
          <w:szCs w:val="24"/>
        </w:rPr>
        <w:t>Fourteenth Amendment</w:t>
      </w:r>
      <w:r w:rsidRPr="0087562D">
        <w:rPr>
          <w:rStyle w:val="apple-converted-space"/>
          <w:rFonts w:ascii="Arial" w:hAnsi="Arial" w:cs="Arial"/>
          <w:sz w:val="24"/>
          <w:szCs w:val="24"/>
        </w:rPr>
        <w:t> </w:t>
      </w:r>
      <w:r w:rsidRPr="0087562D">
        <w:rPr>
          <w:rFonts w:ascii="Arial" w:hAnsi="Arial" w:cs="Arial"/>
          <w:sz w:val="24"/>
          <w:szCs w:val="24"/>
        </w:rPr>
        <w:t>thus protecting those rights from infringement by local governments.</w:t>
      </w:r>
      <w:r w:rsidR="00A83372">
        <w:rPr>
          <w:rFonts w:ascii="Arial" w:hAnsi="Arial" w:cs="Arial"/>
          <w:sz w:val="24"/>
          <w:szCs w:val="24"/>
          <w:vertAlign w:val="superscript"/>
        </w:rPr>
        <w:t xml:space="preserve"> </w:t>
      </w:r>
      <w:r w:rsidRPr="0087562D">
        <w:rPr>
          <w:rStyle w:val="apple-converted-space"/>
          <w:rFonts w:ascii="Arial" w:hAnsi="Arial" w:cs="Arial"/>
          <w:sz w:val="24"/>
          <w:szCs w:val="24"/>
        </w:rPr>
        <w:t> </w:t>
      </w:r>
      <w:r w:rsidRPr="0087562D">
        <w:rPr>
          <w:rFonts w:ascii="Arial" w:hAnsi="Arial" w:cs="Arial"/>
          <w:sz w:val="24"/>
          <w:szCs w:val="24"/>
        </w:rPr>
        <w:t>It then</w:t>
      </w:r>
      <w:r w:rsidRPr="0087562D">
        <w:rPr>
          <w:rStyle w:val="apple-converted-space"/>
          <w:rFonts w:ascii="Arial" w:hAnsi="Arial" w:cs="Arial"/>
          <w:sz w:val="24"/>
          <w:szCs w:val="24"/>
        </w:rPr>
        <w:t> </w:t>
      </w:r>
      <w:r w:rsidRPr="00A83372">
        <w:rPr>
          <w:rFonts w:ascii="Arial" w:hAnsi="Arial" w:cs="Arial"/>
          <w:sz w:val="24"/>
          <w:szCs w:val="24"/>
        </w:rPr>
        <w:t>remanded</w:t>
      </w:r>
      <w:r w:rsidRPr="0087562D">
        <w:rPr>
          <w:rStyle w:val="apple-converted-space"/>
          <w:rFonts w:ascii="Arial" w:hAnsi="Arial" w:cs="Arial"/>
          <w:sz w:val="24"/>
          <w:szCs w:val="24"/>
        </w:rPr>
        <w:t> </w:t>
      </w:r>
      <w:r w:rsidRPr="0087562D">
        <w:rPr>
          <w:rFonts w:ascii="Arial" w:hAnsi="Arial" w:cs="Arial"/>
          <w:sz w:val="24"/>
          <w:szCs w:val="24"/>
        </w:rPr>
        <w:t>the case back to Seventh Circuit to resolve conflicts between certain Chicago</w:t>
      </w:r>
      <w:r w:rsidRPr="0087562D">
        <w:rPr>
          <w:rStyle w:val="apple-converted-space"/>
          <w:rFonts w:ascii="Arial" w:hAnsi="Arial" w:cs="Arial"/>
          <w:sz w:val="24"/>
          <w:szCs w:val="24"/>
        </w:rPr>
        <w:t> </w:t>
      </w:r>
      <w:r w:rsidRPr="00A83372">
        <w:rPr>
          <w:rFonts w:ascii="Arial" w:hAnsi="Arial" w:cs="Arial"/>
          <w:sz w:val="24"/>
          <w:szCs w:val="24"/>
        </w:rPr>
        <w:t>gun restrictions</w:t>
      </w:r>
      <w:r w:rsidRPr="0087562D">
        <w:rPr>
          <w:rStyle w:val="apple-converted-space"/>
          <w:rFonts w:ascii="Arial" w:hAnsi="Arial" w:cs="Arial"/>
          <w:sz w:val="24"/>
          <w:szCs w:val="24"/>
        </w:rPr>
        <w:t> </w:t>
      </w:r>
      <w:r w:rsidRPr="0087562D">
        <w:rPr>
          <w:rFonts w:ascii="Arial" w:hAnsi="Arial" w:cs="Arial"/>
          <w:sz w:val="24"/>
          <w:szCs w:val="24"/>
        </w:rPr>
        <w:t>and the</w:t>
      </w:r>
      <w:r w:rsidRPr="0087562D">
        <w:rPr>
          <w:rStyle w:val="apple-converted-space"/>
          <w:rFonts w:ascii="Arial" w:hAnsi="Arial" w:cs="Arial"/>
          <w:sz w:val="24"/>
          <w:szCs w:val="24"/>
        </w:rPr>
        <w:t> </w:t>
      </w:r>
      <w:r w:rsidRPr="00A83372">
        <w:rPr>
          <w:rFonts w:ascii="Arial" w:hAnsi="Arial" w:cs="Arial"/>
          <w:sz w:val="24"/>
          <w:szCs w:val="24"/>
        </w:rPr>
        <w:t>Second Amendment</w:t>
      </w:r>
      <w:r w:rsidRPr="0087562D">
        <w:rPr>
          <w:rFonts w:ascii="Arial" w:hAnsi="Arial" w:cs="Arial"/>
          <w:sz w:val="24"/>
          <w:szCs w:val="24"/>
        </w:rPr>
        <w:t>.</w:t>
      </w:r>
    </w:p>
    <w:p w:rsidR="00A83372" w:rsidRDefault="00A83372" w:rsidP="0087562D">
      <w:pPr>
        <w:pStyle w:val="NormalWeb"/>
        <w:spacing w:before="120" w:beforeAutospacing="0" w:after="120" w:afterAutospacing="0"/>
        <w:rPr>
          <w:rFonts w:ascii="Arial" w:hAnsi="Arial" w:cs="Arial"/>
          <w:sz w:val="24"/>
          <w:szCs w:val="24"/>
        </w:rPr>
      </w:pPr>
    </w:p>
    <w:p w:rsidR="00A83372" w:rsidRDefault="00A83372" w:rsidP="0087562D">
      <w:pPr>
        <w:pStyle w:val="NormalWeb"/>
        <w:spacing w:before="120" w:beforeAutospacing="0" w:after="120" w:afterAutospacing="0"/>
        <w:rPr>
          <w:rFonts w:ascii="Arial" w:hAnsi="Arial" w:cs="Arial"/>
          <w:sz w:val="24"/>
          <w:szCs w:val="24"/>
        </w:rPr>
      </w:pPr>
    </w:p>
    <w:p w:rsidR="00A83372" w:rsidRDefault="00A83372" w:rsidP="0087562D">
      <w:pPr>
        <w:pStyle w:val="NormalWeb"/>
        <w:spacing w:before="120" w:beforeAutospacing="0" w:after="120" w:afterAutospacing="0"/>
        <w:rPr>
          <w:rFonts w:ascii="Arial" w:hAnsi="Arial" w:cs="Arial"/>
          <w:sz w:val="24"/>
          <w:szCs w:val="24"/>
        </w:rPr>
      </w:pPr>
    </w:p>
    <w:p w:rsidR="00A83372" w:rsidRDefault="00A83372" w:rsidP="0087562D">
      <w:pPr>
        <w:pStyle w:val="NormalWeb"/>
        <w:spacing w:before="120" w:beforeAutospacing="0" w:after="120" w:afterAutospacing="0"/>
        <w:rPr>
          <w:rFonts w:ascii="Arial" w:hAnsi="Arial" w:cs="Arial"/>
          <w:b/>
          <w:sz w:val="24"/>
          <w:szCs w:val="24"/>
        </w:rPr>
      </w:pPr>
      <w:r>
        <w:rPr>
          <w:rFonts w:ascii="Arial" w:hAnsi="Arial" w:cs="Arial"/>
          <w:b/>
          <w:sz w:val="24"/>
          <w:szCs w:val="24"/>
        </w:rPr>
        <w:lastRenderedPageBreak/>
        <w:t>Legal Basis For Incorporation:</w:t>
      </w:r>
    </w:p>
    <w:p w:rsidR="00A83372" w:rsidRPr="00A83372" w:rsidRDefault="00A83372" w:rsidP="00A83372">
      <w:pPr>
        <w:pStyle w:val="NormalWeb"/>
        <w:spacing w:before="120" w:beforeAutospacing="0" w:after="120" w:afterAutospacing="0"/>
        <w:rPr>
          <w:rFonts w:ascii="Arial" w:hAnsi="Arial" w:cs="Arial"/>
          <w:sz w:val="24"/>
          <w:szCs w:val="24"/>
        </w:rPr>
      </w:pPr>
      <w:r w:rsidRPr="00A83372">
        <w:rPr>
          <w:rFonts w:ascii="Arial" w:hAnsi="Arial" w:cs="Arial"/>
          <w:sz w:val="24"/>
          <w:szCs w:val="24"/>
        </w:rPr>
        <w:t>All of the post-</w:t>
      </w:r>
      <w:r w:rsidRPr="00A83372">
        <w:rPr>
          <w:rFonts w:ascii="Arial" w:hAnsi="Arial" w:cs="Arial"/>
          <w:i/>
          <w:iCs/>
          <w:sz w:val="24"/>
          <w:szCs w:val="24"/>
        </w:rPr>
        <w:t>Heller</w:t>
      </w:r>
      <w:r w:rsidRPr="00A83372">
        <w:rPr>
          <w:rStyle w:val="apple-converted-space"/>
          <w:rFonts w:ascii="Arial" w:hAnsi="Arial" w:cs="Arial"/>
          <w:sz w:val="24"/>
          <w:szCs w:val="24"/>
        </w:rPr>
        <w:t> </w:t>
      </w:r>
      <w:r w:rsidRPr="00A83372">
        <w:rPr>
          <w:rFonts w:ascii="Arial" w:hAnsi="Arial" w:cs="Arial"/>
          <w:sz w:val="24"/>
          <w:szCs w:val="24"/>
        </w:rPr>
        <w:t>cases, including</w:t>
      </w:r>
      <w:r w:rsidRPr="00A83372">
        <w:rPr>
          <w:rStyle w:val="apple-converted-space"/>
          <w:rFonts w:ascii="Arial" w:hAnsi="Arial" w:cs="Arial"/>
          <w:sz w:val="24"/>
          <w:szCs w:val="24"/>
        </w:rPr>
        <w:t> </w:t>
      </w:r>
      <w:r w:rsidRPr="00A83372">
        <w:rPr>
          <w:rFonts w:ascii="Arial" w:hAnsi="Arial" w:cs="Arial"/>
          <w:i/>
          <w:iCs/>
          <w:sz w:val="24"/>
          <w:szCs w:val="24"/>
        </w:rPr>
        <w:t>McDonald</w:t>
      </w:r>
      <w:r w:rsidRPr="00A83372">
        <w:rPr>
          <w:rFonts w:ascii="Arial" w:hAnsi="Arial" w:cs="Arial"/>
          <w:sz w:val="24"/>
          <w:szCs w:val="24"/>
        </w:rPr>
        <w:t>,</w:t>
      </w:r>
      <w:r w:rsidRPr="00A83372">
        <w:rPr>
          <w:rStyle w:val="apple-converted-space"/>
          <w:rFonts w:ascii="Arial" w:hAnsi="Arial" w:cs="Arial"/>
          <w:sz w:val="24"/>
          <w:szCs w:val="24"/>
        </w:rPr>
        <w:t> </w:t>
      </w:r>
      <w:r w:rsidRPr="00A83372">
        <w:rPr>
          <w:rFonts w:ascii="Arial" w:hAnsi="Arial" w:cs="Arial"/>
          <w:i/>
          <w:iCs/>
          <w:sz w:val="24"/>
          <w:szCs w:val="24"/>
        </w:rPr>
        <w:t>NRA v. Chicago</w:t>
      </w:r>
      <w:r w:rsidRPr="00A83372">
        <w:rPr>
          <w:rFonts w:ascii="Arial" w:hAnsi="Arial" w:cs="Arial"/>
          <w:sz w:val="24"/>
          <w:szCs w:val="24"/>
        </w:rPr>
        <w:t>,</w:t>
      </w:r>
      <w:r w:rsidRPr="00A83372">
        <w:rPr>
          <w:rStyle w:val="apple-converted-space"/>
          <w:rFonts w:ascii="Arial" w:hAnsi="Arial" w:cs="Arial"/>
          <w:sz w:val="24"/>
          <w:szCs w:val="24"/>
        </w:rPr>
        <w:t> </w:t>
      </w:r>
      <w:proofErr w:type="spellStart"/>
      <w:r w:rsidRPr="00A83372">
        <w:rPr>
          <w:rFonts w:ascii="Arial" w:hAnsi="Arial" w:cs="Arial"/>
          <w:i/>
          <w:iCs/>
          <w:sz w:val="24"/>
          <w:szCs w:val="24"/>
        </w:rPr>
        <w:t>Nordyke</w:t>
      </w:r>
      <w:proofErr w:type="spellEnd"/>
      <w:r w:rsidRPr="00A83372">
        <w:rPr>
          <w:rStyle w:val="apple-converted-space"/>
          <w:rFonts w:ascii="Arial" w:hAnsi="Arial" w:cs="Arial"/>
          <w:sz w:val="24"/>
          <w:szCs w:val="24"/>
        </w:rPr>
        <w:t> </w:t>
      </w:r>
      <w:r w:rsidRPr="00A83372">
        <w:rPr>
          <w:rFonts w:ascii="Arial" w:hAnsi="Arial" w:cs="Arial"/>
          <w:sz w:val="24"/>
          <w:szCs w:val="24"/>
        </w:rPr>
        <w:t>and</w:t>
      </w:r>
      <w:r w:rsidRPr="00A83372">
        <w:rPr>
          <w:rStyle w:val="apple-converted-space"/>
          <w:rFonts w:ascii="Arial" w:hAnsi="Arial" w:cs="Arial"/>
          <w:sz w:val="24"/>
          <w:szCs w:val="24"/>
        </w:rPr>
        <w:t> </w:t>
      </w:r>
      <w:r w:rsidRPr="00A83372">
        <w:rPr>
          <w:rFonts w:ascii="Arial" w:hAnsi="Arial" w:cs="Arial"/>
          <w:i/>
          <w:iCs/>
          <w:sz w:val="24"/>
          <w:szCs w:val="24"/>
        </w:rPr>
        <w:t>Maloney</w:t>
      </w:r>
      <w:r w:rsidRPr="00A83372">
        <w:rPr>
          <w:rFonts w:ascii="Arial" w:hAnsi="Arial" w:cs="Arial"/>
          <w:sz w:val="24"/>
          <w:szCs w:val="24"/>
        </w:rPr>
        <w:t>, argued that the Second Amendment, in addition to applying to federal jurisdictions, should also be applied against state and local governments, using a judicial process called</w:t>
      </w:r>
      <w:r w:rsidRPr="00A83372">
        <w:rPr>
          <w:rStyle w:val="apple-converted-space"/>
          <w:rFonts w:ascii="Arial" w:hAnsi="Arial" w:cs="Arial"/>
          <w:sz w:val="24"/>
          <w:szCs w:val="24"/>
        </w:rPr>
        <w:t> </w:t>
      </w:r>
      <w:r w:rsidRPr="00A83372">
        <w:rPr>
          <w:rFonts w:ascii="Arial" w:hAnsi="Arial" w:cs="Arial"/>
          <w:sz w:val="24"/>
          <w:szCs w:val="24"/>
        </w:rPr>
        <w:t>selective incorporation. Selective incorporation involves convincing the court that a right is "fundamental" by being “implicit in the concept of ordered liberty” or “deeply rooted in our nation’s history and traditions” as defined most recently in the Supreme Court case</w:t>
      </w:r>
      <w:r w:rsidRPr="00A83372">
        <w:rPr>
          <w:rStyle w:val="apple-converted-space"/>
          <w:rFonts w:ascii="Arial" w:hAnsi="Arial" w:cs="Arial"/>
          <w:sz w:val="24"/>
          <w:szCs w:val="24"/>
        </w:rPr>
        <w:t> </w:t>
      </w:r>
      <w:r w:rsidRPr="00A83372">
        <w:rPr>
          <w:rFonts w:ascii="Arial" w:hAnsi="Arial" w:cs="Arial"/>
          <w:i/>
          <w:iCs/>
          <w:sz w:val="24"/>
          <w:szCs w:val="24"/>
        </w:rPr>
        <w:t>Duncan v. Louisiana</w:t>
      </w:r>
      <w:r>
        <w:rPr>
          <w:rFonts w:ascii="Arial" w:hAnsi="Arial" w:cs="Arial"/>
          <w:sz w:val="24"/>
          <w:szCs w:val="24"/>
        </w:rPr>
        <w:t xml:space="preserve"> </w:t>
      </w:r>
      <w:r w:rsidRPr="00A83372">
        <w:rPr>
          <w:rFonts w:ascii="Arial" w:hAnsi="Arial" w:cs="Arial"/>
          <w:sz w:val="24"/>
          <w:szCs w:val="24"/>
        </w:rPr>
        <w:t>(1968).</w:t>
      </w:r>
    </w:p>
    <w:p w:rsidR="00A83372" w:rsidRPr="00A83372" w:rsidRDefault="00A83372" w:rsidP="00A83372">
      <w:pPr>
        <w:pStyle w:val="NormalWeb"/>
        <w:spacing w:before="120" w:beforeAutospacing="0" w:after="120" w:afterAutospacing="0"/>
        <w:rPr>
          <w:rFonts w:ascii="Arial" w:hAnsi="Arial" w:cs="Arial"/>
          <w:sz w:val="24"/>
          <w:szCs w:val="24"/>
        </w:rPr>
      </w:pPr>
      <w:r w:rsidRPr="00A83372">
        <w:rPr>
          <w:rFonts w:ascii="Arial" w:hAnsi="Arial" w:cs="Arial"/>
          <w:sz w:val="24"/>
          <w:szCs w:val="24"/>
        </w:rPr>
        <w:t>In addition to claiming the Second Amendment should be incorporated through the selective incorporation process,</w:t>
      </w:r>
      <w:r w:rsidRPr="00A83372">
        <w:rPr>
          <w:rStyle w:val="apple-converted-space"/>
          <w:rFonts w:ascii="Arial" w:hAnsi="Arial" w:cs="Arial"/>
          <w:sz w:val="24"/>
          <w:szCs w:val="24"/>
        </w:rPr>
        <w:t> </w:t>
      </w:r>
      <w:r w:rsidRPr="00A83372">
        <w:rPr>
          <w:rFonts w:ascii="Arial" w:hAnsi="Arial" w:cs="Arial"/>
          <w:i/>
          <w:iCs/>
          <w:sz w:val="24"/>
          <w:szCs w:val="24"/>
        </w:rPr>
        <w:t>McDonald</w:t>
      </w:r>
      <w:r w:rsidRPr="00A83372">
        <w:rPr>
          <w:rStyle w:val="apple-converted-space"/>
          <w:rFonts w:ascii="Arial" w:hAnsi="Arial" w:cs="Arial"/>
          <w:sz w:val="24"/>
          <w:szCs w:val="24"/>
        </w:rPr>
        <w:t> </w:t>
      </w:r>
      <w:r w:rsidRPr="00A83372">
        <w:rPr>
          <w:rFonts w:ascii="Arial" w:hAnsi="Arial" w:cs="Arial"/>
          <w:sz w:val="24"/>
          <w:szCs w:val="24"/>
        </w:rPr>
        <w:t>is unique among post-Heller gun cases in that it asked the court to overturn the</w:t>
      </w:r>
      <w:r w:rsidRPr="00A83372">
        <w:rPr>
          <w:rStyle w:val="apple-converted-space"/>
          <w:rFonts w:ascii="Arial" w:hAnsi="Arial" w:cs="Arial"/>
          <w:sz w:val="24"/>
          <w:szCs w:val="24"/>
        </w:rPr>
        <w:t> </w:t>
      </w:r>
      <w:r w:rsidRPr="00A83372">
        <w:rPr>
          <w:rFonts w:ascii="Arial" w:hAnsi="Arial" w:cs="Arial"/>
          <w:i/>
          <w:iCs/>
          <w:sz w:val="24"/>
          <w:szCs w:val="24"/>
        </w:rPr>
        <w:t>Slaughter-House Cases</w:t>
      </w:r>
      <w:r w:rsidRPr="00A83372">
        <w:rPr>
          <w:rFonts w:ascii="Arial" w:hAnsi="Arial" w:cs="Arial"/>
          <w:sz w:val="24"/>
          <w:szCs w:val="24"/>
        </w:rPr>
        <w:t>,</w:t>
      </w:r>
      <w:r w:rsidRPr="00A83372">
        <w:rPr>
          <w:rStyle w:val="apple-converted-space"/>
          <w:rFonts w:ascii="Arial" w:hAnsi="Arial" w:cs="Arial"/>
          <w:sz w:val="24"/>
          <w:szCs w:val="24"/>
        </w:rPr>
        <w:t> </w:t>
      </w:r>
      <w:r w:rsidRPr="00A83372">
        <w:rPr>
          <w:rFonts w:ascii="Arial" w:hAnsi="Arial" w:cs="Arial"/>
          <w:sz w:val="24"/>
          <w:szCs w:val="24"/>
        </w:rPr>
        <w:t>(1873).</w:t>
      </w:r>
      <w:r w:rsidRPr="00A83372">
        <w:rPr>
          <w:rStyle w:val="apple-converted-space"/>
          <w:rFonts w:ascii="Arial" w:hAnsi="Arial" w:cs="Arial"/>
          <w:sz w:val="24"/>
          <w:szCs w:val="24"/>
        </w:rPr>
        <w:t> </w:t>
      </w:r>
      <w:proofErr w:type="gramStart"/>
      <w:r w:rsidRPr="00A83372">
        <w:rPr>
          <w:rFonts w:ascii="Arial" w:hAnsi="Arial" w:cs="Arial"/>
          <w:i/>
          <w:iCs/>
          <w:sz w:val="24"/>
          <w:szCs w:val="24"/>
        </w:rPr>
        <w:t>Slaughter-House</w:t>
      </w:r>
      <w:proofErr w:type="gramEnd"/>
      <w:r w:rsidRPr="00A83372">
        <w:rPr>
          <w:rStyle w:val="apple-converted-space"/>
          <w:rFonts w:ascii="Arial" w:hAnsi="Arial" w:cs="Arial"/>
          <w:sz w:val="24"/>
          <w:szCs w:val="24"/>
        </w:rPr>
        <w:t> </w:t>
      </w:r>
      <w:r w:rsidRPr="00A83372">
        <w:rPr>
          <w:rFonts w:ascii="Arial" w:hAnsi="Arial" w:cs="Arial"/>
          <w:sz w:val="24"/>
          <w:szCs w:val="24"/>
        </w:rPr>
        <w:t>determined that the 14th Amendment's</w:t>
      </w:r>
      <w:r w:rsidRPr="00A83372">
        <w:rPr>
          <w:rStyle w:val="apple-converted-space"/>
          <w:rFonts w:ascii="Arial" w:hAnsi="Arial" w:cs="Arial"/>
          <w:sz w:val="24"/>
          <w:szCs w:val="24"/>
        </w:rPr>
        <w:t> </w:t>
      </w:r>
      <w:r w:rsidRPr="00A83372">
        <w:rPr>
          <w:rFonts w:ascii="Arial" w:hAnsi="Arial" w:cs="Arial"/>
          <w:sz w:val="24"/>
          <w:szCs w:val="24"/>
        </w:rPr>
        <w:t>Privileges or Immunities Clause</w:t>
      </w:r>
      <w:r w:rsidRPr="00A83372">
        <w:rPr>
          <w:rStyle w:val="apple-converted-space"/>
          <w:rFonts w:ascii="Arial" w:hAnsi="Arial" w:cs="Arial"/>
          <w:sz w:val="24"/>
          <w:szCs w:val="24"/>
        </w:rPr>
        <w:t> </w:t>
      </w:r>
      <w:r w:rsidRPr="00A83372">
        <w:rPr>
          <w:rFonts w:ascii="Arial" w:hAnsi="Arial" w:cs="Arial"/>
          <w:sz w:val="24"/>
          <w:szCs w:val="24"/>
        </w:rPr>
        <w:t>did not apply the</w:t>
      </w:r>
      <w:r w:rsidRPr="00A83372">
        <w:rPr>
          <w:rStyle w:val="apple-converted-space"/>
          <w:rFonts w:ascii="Arial" w:hAnsi="Arial" w:cs="Arial"/>
          <w:sz w:val="24"/>
          <w:szCs w:val="24"/>
        </w:rPr>
        <w:t> </w:t>
      </w:r>
      <w:r w:rsidRPr="00A83372">
        <w:rPr>
          <w:rFonts w:ascii="Arial" w:hAnsi="Arial" w:cs="Arial"/>
          <w:sz w:val="24"/>
          <w:szCs w:val="24"/>
        </w:rPr>
        <w:t>Bill of Rights</w:t>
      </w:r>
      <w:r w:rsidRPr="00A83372">
        <w:rPr>
          <w:rStyle w:val="apple-converted-space"/>
          <w:rFonts w:ascii="Arial" w:hAnsi="Arial" w:cs="Arial"/>
          <w:sz w:val="24"/>
          <w:szCs w:val="24"/>
        </w:rPr>
        <w:t> </w:t>
      </w:r>
      <w:r w:rsidRPr="00A83372">
        <w:rPr>
          <w:rFonts w:ascii="Arial" w:hAnsi="Arial" w:cs="Arial"/>
          <w:sz w:val="24"/>
          <w:szCs w:val="24"/>
        </w:rPr>
        <w:t xml:space="preserve">to the actions of states (and by extension, local governments). If it had been overturned, the Selective Incorporation process may have become unnecessary, since the entire Bill of Rights, including the 2nd </w:t>
      </w:r>
      <w:proofErr w:type="gramStart"/>
      <w:r w:rsidRPr="00A83372">
        <w:rPr>
          <w:rFonts w:ascii="Arial" w:hAnsi="Arial" w:cs="Arial"/>
          <w:sz w:val="24"/>
          <w:szCs w:val="24"/>
        </w:rPr>
        <w:t>Amendment,</w:t>
      </w:r>
      <w:proofErr w:type="gramEnd"/>
      <w:r w:rsidRPr="00A83372">
        <w:rPr>
          <w:rFonts w:ascii="Arial" w:hAnsi="Arial" w:cs="Arial"/>
          <w:sz w:val="24"/>
          <w:szCs w:val="24"/>
        </w:rPr>
        <w:t xml:space="preserve"> would arguably be applied to the states.</w:t>
      </w:r>
    </w:p>
    <w:p w:rsidR="00A83372" w:rsidRPr="00A83372" w:rsidRDefault="00A83372" w:rsidP="00A83372">
      <w:pPr>
        <w:pStyle w:val="NormalWeb"/>
        <w:spacing w:before="120" w:beforeAutospacing="0" w:after="120" w:afterAutospacing="0"/>
        <w:rPr>
          <w:rFonts w:ascii="Arial" w:hAnsi="Arial" w:cs="Arial"/>
          <w:sz w:val="24"/>
          <w:szCs w:val="24"/>
        </w:rPr>
      </w:pPr>
      <w:r w:rsidRPr="00A83372">
        <w:rPr>
          <w:rFonts w:ascii="Arial" w:hAnsi="Arial" w:cs="Arial"/>
          <w:sz w:val="24"/>
          <w:szCs w:val="24"/>
        </w:rPr>
        <w:t>In attempting to overturn</w:t>
      </w:r>
      <w:r w:rsidRPr="00A83372">
        <w:rPr>
          <w:rStyle w:val="apple-converted-space"/>
          <w:rFonts w:ascii="Arial" w:hAnsi="Arial" w:cs="Arial"/>
          <w:sz w:val="24"/>
          <w:szCs w:val="24"/>
        </w:rPr>
        <w:t> </w:t>
      </w:r>
      <w:proofErr w:type="gramStart"/>
      <w:r w:rsidRPr="00A83372">
        <w:rPr>
          <w:rFonts w:ascii="Arial" w:hAnsi="Arial" w:cs="Arial"/>
          <w:i/>
          <w:iCs/>
          <w:sz w:val="24"/>
          <w:szCs w:val="24"/>
        </w:rPr>
        <w:t>Slaughter-House</w:t>
      </w:r>
      <w:proofErr w:type="gramEnd"/>
      <w:r w:rsidRPr="00A83372">
        <w:rPr>
          <w:rFonts w:ascii="Arial" w:hAnsi="Arial" w:cs="Arial"/>
          <w:sz w:val="24"/>
          <w:szCs w:val="24"/>
        </w:rPr>
        <w:t>, this case garnered the attention and support of both conservative and liberal legal scholars interested in its potential application in areas outside of firearms law. Their interest was that if</w:t>
      </w:r>
      <w:r w:rsidRPr="00A83372">
        <w:rPr>
          <w:rStyle w:val="apple-converted-space"/>
          <w:rFonts w:ascii="Arial" w:hAnsi="Arial" w:cs="Arial"/>
          <w:sz w:val="24"/>
          <w:szCs w:val="24"/>
        </w:rPr>
        <w:t> </w:t>
      </w:r>
      <w:r w:rsidRPr="00A83372">
        <w:rPr>
          <w:rFonts w:ascii="Arial" w:hAnsi="Arial" w:cs="Arial"/>
          <w:i/>
          <w:iCs/>
          <w:sz w:val="24"/>
          <w:szCs w:val="24"/>
        </w:rPr>
        <w:t>Slaughter-House</w:t>
      </w:r>
      <w:r w:rsidRPr="00A83372">
        <w:rPr>
          <w:rStyle w:val="apple-converted-space"/>
          <w:rFonts w:ascii="Arial" w:hAnsi="Arial" w:cs="Arial"/>
          <w:sz w:val="24"/>
          <w:szCs w:val="24"/>
        </w:rPr>
        <w:t> </w:t>
      </w:r>
      <w:r w:rsidRPr="00A83372">
        <w:rPr>
          <w:rFonts w:ascii="Arial" w:hAnsi="Arial" w:cs="Arial"/>
          <w:sz w:val="24"/>
          <w:szCs w:val="24"/>
        </w:rPr>
        <w:t>had been overturned, it would have been possible that constitutional guarantees such as the right to a jury in civil cases, right to a grand jury in felony cases, and other parts of the Bill of Rights, as well as future court rulings and existing federal precedent, not universally guaranteed in actions by the states, would have been applied against the states automatically.</w:t>
      </w:r>
    </w:p>
    <w:p w:rsidR="00A83372" w:rsidRPr="00A83372" w:rsidRDefault="00A83372" w:rsidP="00A83372">
      <w:pPr>
        <w:pStyle w:val="NormalWeb"/>
        <w:spacing w:before="120" w:beforeAutospacing="0" w:after="120" w:afterAutospacing="0"/>
        <w:rPr>
          <w:rFonts w:ascii="Arial" w:hAnsi="Arial" w:cs="Arial"/>
          <w:sz w:val="24"/>
          <w:szCs w:val="24"/>
        </w:rPr>
      </w:pPr>
      <w:r w:rsidRPr="00A83372">
        <w:rPr>
          <w:rFonts w:ascii="Arial" w:hAnsi="Arial" w:cs="Arial"/>
          <w:sz w:val="24"/>
          <w:szCs w:val="24"/>
        </w:rPr>
        <w:t>In his concurring opinion,</w:t>
      </w:r>
      <w:r w:rsidRPr="00A83372">
        <w:rPr>
          <w:rStyle w:val="apple-converted-space"/>
          <w:rFonts w:ascii="Arial" w:hAnsi="Arial" w:cs="Arial"/>
          <w:sz w:val="24"/>
          <w:szCs w:val="24"/>
        </w:rPr>
        <w:t> </w:t>
      </w:r>
      <w:r w:rsidRPr="00A83372">
        <w:rPr>
          <w:rFonts w:ascii="Arial" w:hAnsi="Arial" w:cs="Arial"/>
          <w:sz w:val="24"/>
          <w:szCs w:val="24"/>
        </w:rPr>
        <w:t>Justice Thomas</w:t>
      </w:r>
      <w:r w:rsidRPr="00A83372">
        <w:rPr>
          <w:rStyle w:val="apple-converted-space"/>
          <w:rFonts w:ascii="Arial" w:hAnsi="Arial" w:cs="Arial"/>
          <w:sz w:val="24"/>
          <w:szCs w:val="24"/>
        </w:rPr>
        <w:t> </w:t>
      </w:r>
      <w:r w:rsidRPr="00A83372">
        <w:rPr>
          <w:rFonts w:ascii="Arial" w:hAnsi="Arial" w:cs="Arial"/>
          <w:sz w:val="24"/>
          <w:szCs w:val="24"/>
        </w:rPr>
        <w:t>criticized the</w:t>
      </w:r>
      <w:r w:rsidRPr="00A83372">
        <w:rPr>
          <w:rStyle w:val="apple-converted-space"/>
          <w:rFonts w:ascii="Arial" w:hAnsi="Arial" w:cs="Arial"/>
          <w:sz w:val="24"/>
          <w:szCs w:val="24"/>
        </w:rPr>
        <w:t> </w:t>
      </w:r>
      <w:proofErr w:type="gramStart"/>
      <w:r w:rsidRPr="00A83372">
        <w:rPr>
          <w:rFonts w:ascii="Arial" w:hAnsi="Arial" w:cs="Arial"/>
          <w:i/>
          <w:iCs/>
          <w:sz w:val="24"/>
          <w:szCs w:val="24"/>
        </w:rPr>
        <w:t>Slaughter-House</w:t>
      </w:r>
      <w:proofErr w:type="gramEnd"/>
      <w:r w:rsidRPr="00A83372">
        <w:rPr>
          <w:rStyle w:val="apple-converted-space"/>
          <w:rFonts w:ascii="Arial" w:hAnsi="Arial" w:cs="Arial"/>
          <w:sz w:val="24"/>
          <w:szCs w:val="24"/>
        </w:rPr>
        <w:t> </w:t>
      </w:r>
      <w:r w:rsidRPr="00A83372">
        <w:rPr>
          <w:rFonts w:ascii="Arial" w:hAnsi="Arial" w:cs="Arial"/>
          <w:sz w:val="24"/>
          <w:szCs w:val="24"/>
        </w:rPr>
        <w:t>and</w:t>
      </w:r>
      <w:r w:rsidRPr="00A83372">
        <w:rPr>
          <w:rStyle w:val="apple-converted-space"/>
          <w:rFonts w:ascii="Arial" w:hAnsi="Arial" w:cs="Arial"/>
          <w:sz w:val="24"/>
          <w:szCs w:val="24"/>
        </w:rPr>
        <w:t> </w:t>
      </w:r>
      <w:r w:rsidRPr="00A83372">
        <w:rPr>
          <w:rFonts w:ascii="Arial" w:hAnsi="Arial" w:cs="Arial"/>
          <w:i/>
          <w:iCs/>
          <w:sz w:val="24"/>
          <w:szCs w:val="24"/>
        </w:rPr>
        <w:t>Cruikshank</w:t>
      </w:r>
      <w:r w:rsidRPr="00A83372">
        <w:rPr>
          <w:rStyle w:val="apple-converted-space"/>
          <w:rFonts w:ascii="Arial" w:hAnsi="Arial" w:cs="Arial"/>
          <w:sz w:val="24"/>
          <w:szCs w:val="24"/>
        </w:rPr>
        <w:t> </w:t>
      </w:r>
      <w:r w:rsidRPr="00A83372">
        <w:rPr>
          <w:rFonts w:ascii="Arial" w:hAnsi="Arial" w:cs="Arial"/>
          <w:sz w:val="24"/>
          <w:szCs w:val="24"/>
        </w:rPr>
        <w:t>decisions,</w:t>
      </w:r>
      <w:r>
        <w:rPr>
          <w:rFonts w:ascii="Arial" w:hAnsi="Arial" w:cs="Arial"/>
          <w:sz w:val="24"/>
          <w:szCs w:val="24"/>
          <w:vertAlign w:val="superscript"/>
        </w:rPr>
        <w:t xml:space="preserve"> </w:t>
      </w:r>
      <w:r w:rsidRPr="00A83372">
        <w:rPr>
          <w:rFonts w:ascii="Arial" w:hAnsi="Arial" w:cs="Arial"/>
          <w:sz w:val="24"/>
          <w:szCs w:val="24"/>
        </w:rPr>
        <w:t>proposing that "the right to keep and bear arms is a privilege of American citizenship that applies to the States through the Fourteenth Amendment’s</w:t>
      </w:r>
      <w:r w:rsidRPr="00A83372">
        <w:rPr>
          <w:rStyle w:val="apple-converted-space"/>
          <w:rFonts w:ascii="Arial" w:hAnsi="Arial" w:cs="Arial"/>
          <w:sz w:val="24"/>
          <w:szCs w:val="24"/>
        </w:rPr>
        <w:t> </w:t>
      </w:r>
      <w:r w:rsidRPr="00A83372">
        <w:rPr>
          <w:rFonts w:ascii="Arial" w:hAnsi="Arial" w:cs="Arial"/>
          <w:sz w:val="24"/>
          <w:szCs w:val="24"/>
        </w:rPr>
        <w:t>Privileges or Immunities Clause."</w:t>
      </w:r>
    </w:p>
    <w:p w:rsidR="00A83372" w:rsidRDefault="00A83372" w:rsidP="0087562D">
      <w:pPr>
        <w:pStyle w:val="NormalWeb"/>
        <w:spacing w:before="120" w:beforeAutospacing="0" w:after="120" w:afterAutospacing="0"/>
        <w:rPr>
          <w:rFonts w:ascii="Arial" w:hAnsi="Arial" w:cs="Arial"/>
          <w:b/>
          <w:sz w:val="24"/>
          <w:szCs w:val="24"/>
        </w:rPr>
      </w:pPr>
    </w:p>
    <w:p w:rsidR="00A83372" w:rsidRDefault="00921041" w:rsidP="0087562D">
      <w:pPr>
        <w:pStyle w:val="NormalWeb"/>
        <w:spacing w:before="120" w:beforeAutospacing="0" w:after="120" w:afterAutospacing="0"/>
        <w:rPr>
          <w:rFonts w:ascii="Arial" w:hAnsi="Arial" w:cs="Arial"/>
          <w:b/>
          <w:sz w:val="24"/>
          <w:szCs w:val="24"/>
        </w:rPr>
      </w:pPr>
      <w:r>
        <w:rPr>
          <w:rFonts w:ascii="Arial" w:hAnsi="Arial" w:cs="Arial"/>
          <w:b/>
          <w:sz w:val="24"/>
          <w:szCs w:val="24"/>
        </w:rPr>
        <w:t>Dissenting Opinion:</w:t>
      </w:r>
    </w:p>
    <w:p w:rsidR="00921041" w:rsidRPr="00921041" w:rsidRDefault="00921041" w:rsidP="00921041">
      <w:pPr>
        <w:pStyle w:val="NormalWeb"/>
        <w:spacing w:before="120" w:beforeAutospacing="0" w:after="120" w:afterAutospacing="0"/>
        <w:rPr>
          <w:rFonts w:ascii="Arial" w:hAnsi="Arial" w:cs="Arial"/>
          <w:sz w:val="24"/>
          <w:szCs w:val="24"/>
        </w:rPr>
      </w:pPr>
      <w:r w:rsidRPr="00921041">
        <w:rPr>
          <w:rFonts w:ascii="Arial" w:hAnsi="Arial" w:cs="Arial"/>
          <w:sz w:val="24"/>
          <w:szCs w:val="24"/>
        </w:rPr>
        <w:t>Justice Stevens wrote a lengthy dissenting opinion. Among his disagreements with the majority was the statement that incorporation was not at issue in this case. Citing</w:t>
      </w:r>
      <w:r w:rsidRPr="00921041">
        <w:rPr>
          <w:rStyle w:val="apple-converted-space"/>
          <w:rFonts w:ascii="Arial" w:hAnsi="Arial" w:cs="Arial"/>
          <w:sz w:val="24"/>
          <w:szCs w:val="24"/>
        </w:rPr>
        <w:t> </w:t>
      </w:r>
      <w:r w:rsidRPr="00921041">
        <w:rPr>
          <w:rFonts w:ascii="Arial" w:hAnsi="Arial" w:cs="Arial"/>
          <w:i/>
          <w:iCs/>
          <w:sz w:val="24"/>
          <w:szCs w:val="24"/>
        </w:rPr>
        <w:t>Cruikshank</w:t>
      </w:r>
      <w:r w:rsidRPr="00921041">
        <w:rPr>
          <w:rFonts w:ascii="Arial" w:hAnsi="Arial" w:cs="Arial"/>
          <w:sz w:val="24"/>
          <w:szCs w:val="24"/>
        </w:rPr>
        <w:t>, Stevens wrote, "The so-called incorporation question was squarely and, in my view, correctly resolved in the late 19th century." In addition, he argued against incorporation, taking issue with the methodology of the majority opinions.</w:t>
      </w:r>
    </w:p>
    <w:p w:rsidR="00921041" w:rsidRPr="00921041" w:rsidRDefault="00921041" w:rsidP="00921041">
      <w:pPr>
        <w:pStyle w:val="NormalWeb"/>
        <w:spacing w:before="120" w:beforeAutospacing="0" w:after="120" w:afterAutospacing="0"/>
        <w:rPr>
          <w:rFonts w:ascii="Arial" w:hAnsi="Arial" w:cs="Arial"/>
          <w:sz w:val="24"/>
          <w:szCs w:val="24"/>
        </w:rPr>
      </w:pPr>
      <w:r w:rsidRPr="00921041">
        <w:rPr>
          <w:rFonts w:ascii="Arial" w:hAnsi="Arial" w:cs="Arial"/>
          <w:sz w:val="24"/>
          <w:szCs w:val="24"/>
        </w:rPr>
        <w:t xml:space="preserve">Justice </w:t>
      </w:r>
      <w:proofErr w:type="spellStart"/>
      <w:r w:rsidRPr="00921041">
        <w:rPr>
          <w:rFonts w:ascii="Arial" w:hAnsi="Arial" w:cs="Arial"/>
          <w:sz w:val="24"/>
          <w:szCs w:val="24"/>
        </w:rPr>
        <w:t>Breyer</w:t>
      </w:r>
      <w:proofErr w:type="spellEnd"/>
      <w:r w:rsidRPr="00921041">
        <w:rPr>
          <w:rFonts w:ascii="Arial" w:hAnsi="Arial" w:cs="Arial"/>
          <w:sz w:val="24"/>
          <w:szCs w:val="24"/>
        </w:rPr>
        <w:t xml:space="preserve"> wrote, "In sum, the Framers did not write the Second Amendment in order to protect a private right of armed self defense. There has been, and is, no consensus that the right is, or was, 'fundamental.</w:t>
      </w:r>
      <w:bookmarkStart w:id="0" w:name="_GoBack"/>
      <w:bookmarkEnd w:id="0"/>
    </w:p>
    <w:p w:rsidR="00921041" w:rsidRDefault="00921041" w:rsidP="0087562D">
      <w:pPr>
        <w:pStyle w:val="NormalWeb"/>
        <w:spacing w:before="120" w:beforeAutospacing="0" w:after="120" w:afterAutospacing="0"/>
        <w:rPr>
          <w:rFonts w:ascii="Arial" w:hAnsi="Arial" w:cs="Arial"/>
          <w:b/>
          <w:sz w:val="24"/>
          <w:szCs w:val="24"/>
        </w:rPr>
      </w:pPr>
    </w:p>
    <w:p w:rsidR="00921041" w:rsidRPr="00921041" w:rsidRDefault="00921041" w:rsidP="0087562D">
      <w:pPr>
        <w:pStyle w:val="NormalWeb"/>
        <w:spacing w:before="120" w:beforeAutospacing="0" w:after="120" w:afterAutospacing="0"/>
        <w:rPr>
          <w:rFonts w:ascii="Arial" w:hAnsi="Arial" w:cs="Arial"/>
          <w:sz w:val="24"/>
          <w:szCs w:val="24"/>
        </w:rPr>
      </w:pPr>
    </w:p>
    <w:p w:rsidR="0087562D" w:rsidRPr="0087562D" w:rsidRDefault="0087562D" w:rsidP="0087562D">
      <w:pPr>
        <w:rPr>
          <w:rFonts w:ascii="Arial" w:hAnsi="Arial" w:cs="Arial"/>
        </w:rPr>
      </w:pPr>
    </w:p>
    <w:sectPr w:rsidR="0087562D" w:rsidRPr="0087562D" w:rsidSect="0086074E">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2D"/>
    <w:rsid w:val="0069717C"/>
    <w:rsid w:val="0086074E"/>
    <w:rsid w:val="0087562D"/>
    <w:rsid w:val="00921041"/>
    <w:rsid w:val="00A83372"/>
    <w:rsid w:val="00A84F35"/>
    <w:rsid w:val="00AC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62D"/>
  </w:style>
  <w:style w:type="character" w:styleId="Hyperlink">
    <w:name w:val="Hyperlink"/>
    <w:basedOn w:val="DefaultParagraphFont"/>
    <w:uiPriority w:val="99"/>
    <w:semiHidden/>
    <w:unhideWhenUsed/>
    <w:rsid w:val="0087562D"/>
    <w:rPr>
      <w:color w:val="0000FF"/>
      <w:u w:val="single"/>
    </w:rPr>
  </w:style>
  <w:style w:type="paragraph" w:styleId="NormalWeb">
    <w:name w:val="Normal (Web)"/>
    <w:basedOn w:val="Normal"/>
    <w:uiPriority w:val="99"/>
    <w:semiHidden/>
    <w:unhideWhenUsed/>
    <w:rsid w:val="0087562D"/>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8756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62D"/>
  </w:style>
  <w:style w:type="character" w:styleId="Hyperlink">
    <w:name w:val="Hyperlink"/>
    <w:basedOn w:val="DefaultParagraphFont"/>
    <w:uiPriority w:val="99"/>
    <w:semiHidden/>
    <w:unhideWhenUsed/>
    <w:rsid w:val="0087562D"/>
    <w:rPr>
      <w:color w:val="0000FF"/>
      <w:u w:val="single"/>
    </w:rPr>
  </w:style>
  <w:style w:type="paragraph" w:styleId="NormalWeb">
    <w:name w:val="Normal (Web)"/>
    <w:basedOn w:val="Normal"/>
    <w:uiPriority w:val="99"/>
    <w:semiHidden/>
    <w:unhideWhenUsed/>
    <w:rsid w:val="0087562D"/>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875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6109">
      <w:bodyDiv w:val="1"/>
      <w:marLeft w:val="0"/>
      <w:marRight w:val="0"/>
      <w:marTop w:val="0"/>
      <w:marBottom w:val="0"/>
      <w:divBdr>
        <w:top w:val="none" w:sz="0" w:space="0" w:color="auto"/>
        <w:left w:val="none" w:sz="0" w:space="0" w:color="auto"/>
        <w:bottom w:val="none" w:sz="0" w:space="0" w:color="auto"/>
        <w:right w:val="none" w:sz="0" w:space="0" w:color="auto"/>
      </w:divBdr>
    </w:div>
    <w:div w:id="1221091397">
      <w:bodyDiv w:val="1"/>
      <w:marLeft w:val="0"/>
      <w:marRight w:val="0"/>
      <w:marTop w:val="0"/>
      <w:marBottom w:val="0"/>
      <w:divBdr>
        <w:top w:val="none" w:sz="0" w:space="0" w:color="auto"/>
        <w:left w:val="none" w:sz="0" w:space="0" w:color="auto"/>
        <w:bottom w:val="none" w:sz="0" w:space="0" w:color="auto"/>
        <w:right w:val="none" w:sz="0" w:space="0" w:color="auto"/>
      </w:divBdr>
    </w:div>
    <w:div w:id="1518302531">
      <w:bodyDiv w:val="1"/>
      <w:marLeft w:val="0"/>
      <w:marRight w:val="0"/>
      <w:marTop w:val="0"/>
      <w:marBottom w:val="0"/>
      <w:divBdr>
        <w:top w:val="none" w:sz="0" w:space="0" w:color="auto"/>
        <w:left w:val="none" w:sz="0" w:space="0" w:color="auto"/>
        <w:bottom w:val="none" w:sz="0" w:space="0" w:color="auto"/>
        <w:right w:val="none" w:sz="0" w:space="0" w:color="auto"/>
      </w:divBdr>
    </w:div>
    <w:div w:id="2050032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preme.justia.com/us/561/08-1521/index.html" TargetMode="External"/><Relationship Id="rId20" Type="http://schemas.openxmlformats.org/officeDocument/2006/relationships/hyperlink" Target="https://en.wikipedia.org/wiki/Alan_Gura" TargetMode="External"/><Relationship Id="rId21" Type="http://schemas.openxmlformats.org/officeDocument/2006/relationships/hyperlink" Target="https://en.wikipedia.org/wiki/Second_Amendment_Foundation" TargetMode="External"/><Relationship Id="rId22" Type="http://schemas.openxmlformats.org/officeDocument/2006/relationships/hyperlink" Target="https://en.wikipedia.org/wiki/Oral_argument_in_the_United_States" TargetMode="External"/><Relationship Id="rId23" Type="http://schemas.openxmlformats.org/officeDocument/2006/relationships/hyperlink" Target="https://en.wikipedia.org/wiki/Second_Amendment_to_the_United_States_Constitutio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n.wikipedia.org/wiki/Supreme_Court_of_the_United_States" TargetMode="External"/><Relationship Id="rId11" Type="http://schemas.openxmlformats.org/officeDocument/2006/relationships/hyperlink" Target="https://en.wikipedia.org/wiki/Second_Amendment_to_the_United_States_Constitution" TargetMode="External"/><Relationship Id="rId12" Type="http://schemas.openxmlformats.org/officeDocument/2006/relationships/hyperlink" Target="https://en.wikipedia.org/wiki/Fourteenth_Amendment_to_the_United_States_Constitution" TargetMode="External"/><Relationship Id="rId13" Type="http://schemas.openxmlformats.org/officeDocument/2006/relationships/hyperlink" Target="https://en.wikipedia.org/wiki/U.S._state" TargetMode="External"/><Relationship Id="rId14" Type="http://schemas.openxmlformats.org/officeDocument/2006/relationships/hyperlink" Target="https://en.wikipedia.org/wiki/District_of_Columbia_v._Heller" TargetMode="External"/><Relationship Id="rId15" Type="http://schemas.openxmlformats.org/officeDocument/2006/relationships/hyperlink" Target="https://en.wikipedia.org/wiki/Gun_politics_in_the_United_States" TargetMode="External"/><Relationship Id="rId16" Type="http://schemas.openxmlformats.org/officeDocument/2006/relationships/hyperlink" Target="https://en.wikipedia.org/wiki/Court_of_Appeals_for_the_Seventh_Circuit" TargetMode="External"/><Relationship Id="rId17" Type="http://schemas.openxmlformats.org/officeDocument/2006/relationships/hyperlink" Target="https://en.wikipedia.org/wiki/United_States_v._Cruikshank" TargetMode="External"/><Relationship Id="rId18" Type="http://schemas.openxmlformats.org/officeDocument/2006/relationships/hyperlink" Target="https://en.wikipedia.org/wiki/Presser_v._Illinois" TargetMode="External"/><Relationship Id="rId19" Type="http://schemas.openxmlformats.org/officeDocument/2006/relationships/hyperlink" Target="https://en.wikipedia.org/wiki/Second_Amendment_to_the_United_States_Constitu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Morgan_Park,_Chicago" TargetMode="External"/><Relationship Id="rId6" Type="http://schemas.openxmlformats.org/officeDocument/2006/relationships/hyperlink" Target="https://en.wikipedia.org/wiki/Gang" TargetMode="External"/><Relationship Id="rId7" Type="http://schemas.openxmlformats.org/officeDocument/2006/relationships/hyperlink" Target="https://en.wikipedia.org/wiki/Drug_dealers" TargetMode="External"/><Relationship Id="rId8" Type="http://schemas.openxmlformats.org/officeDocument/2006/relationships/hyperlink" Target="https://en.wikipedia.org/wiki/United_Stat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1114</Words>
  <Characters>6350</Characters>
  <Application>Microsoft Macintosh Word</Application>
  <DocSecurity>0</DocSecurity>
  <Lines>52</Lines>
  <Paragraphs>14</Paragraphs>
  <ScaleCrop>false</ScaleCrop>
  <Company>SBBC</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2018-06-24T00:39:00Z</dcterms:created>
  <dcterms:modified xsi:type="dcterms:W3CDTF">2018-06-24T01:18:00Z</dcterms:modified>
</cp:coreProperties>
</file>