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Default="00245A59" w:rsidP="00245A59">
      <w:pPr>
        <w:jc w:val="center"/>
        <w:rPr>
          <w:rFonts w:ascii="Arial" w:hAnsi="Arial" w:cs="Arial"/>
          <w:b/>
          <w:sz w:val="28"/>
          <w:szCs w:val="28"/>
        </w:rPr>
      </w:pPr>
      <w:r>
        <w:rPr>
          <w:rFonts w:ascii="Arial" w:hAnsi="Arial" w:cs="Arial"/>
          <w:b/>
          <w:sz w:val="28"/>
          <w:szCs w:val="28"/>
        </w:rPr>
        <w:t>GIDEON versus WAINWRIGHT  (1963)</w:t>
      </w:r>
    </w:p>
    <w:p w:rsidR="00245A59" w:rsidRDefault="00245A59" w:rsidP="00245A59">
      <w:pPr>
        <w:jc w:val="center"/>
        <w:rPr>
          <w:rFonts w:ascii="Arial" w:hAnsi="Arial" w:cs="Arial"/>
          <w:b/>
        </w:rPr>
      </w:pPr>
      <w:r>
        <w:rPr>
          <w:rFonts w:ascii="Arial" w:hAnsi="Arial" w:cs="Arial"/>
          <w:b/>
          <w:i/>
          <w:sz w:val="28"/>
          <w:szCs w:val="28"/>
        </w:rPr>
        <w:t>(Right to Counsel / 6</w:t>
      </w:r>
      <w:r w:rsidRPr="00245A59">
        <w:rPr>
          <w:rFonts w:ascii="Arial" w:hAnsi="Arial" w:cs="Arial"/>
          <w:b/>
          <w:i/>
          <w:sz w:val="28"/>
          <w:szCs w:val="28"/>
          <w:vertAlign w:val="superscript"/>
        </w:rPr>
        <w:t>th</w:t>
      </w:r>
      <w:r>
        <w:rPr>
          <w:rFonts w:ascii="Arial" w:hAnsi="Arial" w:cs="Arial"/>
          <w:b/>
          <w:i/>
          <w:sz w:val="28"/>
          <w:szCs w:val="28"/>
        </w:rPr>
        <w:t xml:space="preserve"> Amendment)</w:t>
      </w:r>
    </w:p>
    <w:p w:rsidR="00245A59" w:rsidRDefault="00245A59" w:rsidP="00245A59">
      <w:pPr>
        <w:jc w:val="center"/>
        <w:rPr>
          <w:rFonts w:ascii="Arial" w:hAnsi="Arial" w:cs="Arial"/>
          <w:b/>
        </w:rPr>
      </w:pPr>
    </w:p>
    <w:p w:rsidR="00245A59" w:rsidRDefault="00245A59" w:rsidP="00245A59">
      <w:pPr>
        <w:rPr>
          <w:rFonts w:ascii="Arial" w:hAnsi="Arial" w:cs="Arial"/>
        </w:rPr>
      </w:pPr>
      <w:r>
        <w:rPr>
          <w:rFonts w:ascii="Arial" w:hAnsi="Arial" w:cs="Arial"/>
          <w:b/>
        </w:rPr>
        <w:t>Background:</w:t>
      </w:r>
    </w:p>
    <w:p w:rsidR="00245A59" w:rsidRDefault="00245A59" w:rsidP="00245A59">
      <w:pPr>
        <w:rPr>
          <w:rFonts w:ascii="Arial" w:hAnsi="Arial" w:cs="Arial"/>
        </w:rPr>
      </w:pPr>
    </w:p>
    <w:p w:rsidR="00245A59" w:rsidRPr="00245A59" w:rsidRDefault="00245A59" w:rsidP="00245A59">
      <w:pPr>
        <w:pStyle w:val="NormalWeb"/>
        <w:spacing w:before="120" w:beforeAutospacing="0" w:after="120" w:afterAutospacing="0"/>
        <w:rPr>
          <w:rFonts w:ascii="Arial" w:hAnsi="Arial" w:cs="Arial"/>
          <w:sz w:val="24"/>
          <w:szCs w:val="24"/>
        </w:rPr>
      </w:pPr>
      <w:r w:rsidRPr="00245A59">
        <w:rPr>
          <w:rFonts w:ascii="Arial" w:hAnsi="Arial" w:cs="Arial"/>
          <w:sz w:val="24"/>
          <w:szCs w:val="24"/>
        </w:rPr>
        <w:t>Between midnight and 8:00 a.m. on June 3, 1961, a burglary occurred at the Bay Harbor Pool Room in</w:t>
      </w:r>
      <w:r w:rsidRPr="00245A59">
        <w:rPr>
          <w:rStyle w:val="apple-converted-space"/>
          <w:rFonts w:ascii="Arial" w:hAnsi="Arial" w:cs="Arial"/>
          <w:sz w:val="24"/>
          <w:szCs w:val="24"/>
        </w:rPr>
        <w:t> </w:t>
      </w:r>
      <w:hyperlink r:id="rId5" w:tooltip="Panama City, Florida" w:history="1">
        <w:r w:rsidRPr="00245A59">
          <w:rPr>
            <w:rStyle w:val="Hyperlink"/>
            <w:rFonts w:ascii="Arial" w:hAnsi="Arial" w:cs="Arial"/>
            <w:color w:val="auto"/>
            <w:sz w:val="24"/>
            <w:szCs w:val="24"/>
            <w:u w:val="none"/>
          </w:rPr>
          <w:t>Panama City</w:t>
        </w:r>
      </w:hyperlink>
      <w:r w:rsidRPr="00245A59">
        <w:rPr>
          <w:rFonts w:ascii="Arial" w:hAnsi="Arial" w:cs="Arial"/>
          <w:sz w:val="24"/>
          <w:szCs w:val="24"/>
        </w:rPr>
        <w:t>,</w:t>
      </w:r>
      <w:r w:rsidRPr="00245A59">
        <w:rPr>
          <w:rStyle w:val="apple-converted-space"/>
          <w:rFonts w:ascii="Arial" w:hAnsi="Arial" w:cs="Arial"/>
          <w:sz w:val="24"/>
          <w:szCs w:val="24"/>
        </w:rPr>
        <w:t> </w:t>
      </w:r>
      <w:hyperlink r:id="rId6" w:tooltip="Florida" w:history="1">
        <w:r w:rsidRPr="00245A59">
          <w:rPr>
            <w:rStyle w:val="Hyperlink"/>
            <w:rFonts w:ascii="Arial" w:hAnsi="Arial" w:cs="Arial"/>
            <w:color w:val="auto"/>
            <w:sz w:val="24"/>
            <w:szCs w:val="24"/>
            <w:u w:val="none"/>
          </w:rPr>
          <w:t>Florida</w:t>
        </w:r>
      </w:hyperlink>
      <w:r w:rsidRPr="00245A59">
        <w:rPr>
          <w:rFonts w:ascii="Arial" w:hAnsi="Arial" w:cs="Arial"/>
          <w:sz w:val="24"/>
          <w:szCs w:val="24"/>
        </w:rPr>
        <w:t>. An unknown person broke a door, smashed a cigarette machine and a record player, and stole money from a cash register. Later that day, a witness reported that he had seen</w:t>
      </w:r>
      <w:r w:rsidRPr="00245A59">
        <w:rPr>
          <w:rStyle w:val="apple-converted-space"/>
          <w:rFonts w:ascii="Arial" w:hAnsi="Arial" w:cs="Arial"/>
          <w:sz w:val="24"/>
          <w:szCs w:val="24"/>
        </w:rPr>
        <w:t> </w:t>
      </w:r>
      <w:hyperlink r:id="rId7" w:tooltip="Clarence Earl Gideon" w:history="1">
        <w:r w:rsidRPr="00245A59">
          <w:rPr>
            <w:rStyle w:val="Hyperlink"/>
            <w:rFonts w:ascii="Arial" w:hAnsi="Arial" w:cs="Arial"/>
            <w:color w:val="auto"/>
            <w:sz w:val="24"/>
            <w:szCs w:val="24"/>
            <w:u w:val="none"/>
          </w:rPr>
          <w:t>Clarence Earl Gideon</w:t>
        </w:r>
      </w:hyperlink>
      <w:r w:rsidRPr="00245A59">
        <w:rPr>
          <w:rStyle w:val="apple-converted-space"/>
          <w:rFonts w:ascii="Arial" w:hAnsi="Arial" w:cs="Arial"/>
          <w:sz w:val="24"/>
          <w:szCs w:val="24"/>
        </w:rPr>
        <w:t> </w:t>
      </w:r>
      <w:r w:rsidRPr="00245A59">
        <w:rPr>
          <w:rFonts w:ascii="Arial" w:hAnsi="Arial" w:cs="Arial"/>
          <w:sz w:val="24"/>
          <w:szCs w:val="24"/>
        </w:rPr>
        <w:t>in the poolroom at around 5:30 that morning, leaving with a wine bottle and money in his pockets. Based on this accusation alone, the police arrested Gideon and charged him with breaking and entering with intent to commit petty</w:t>
      </w:r>
      <w:r w:rsidRPr="00245A59">
        <w:rPr>
          <w:rStyle w:val="apple-converted-space"/>
          <w:rFonts w:ascii="Arial" w:hAnsi="Arial" w:cs="Arial"/>
          <w:sz w:val="24"/>
          <w:szCs w:val="24"/>
        </w:rPr>
        <w:t> </w:t>
      </w:r>
      <w:hyperlink r:id="rId8" w:tooltip="Larceny" w:history="1">
        <w:r w:rsidRPr="00245A59">
          <w:rPr>
            <w:rStyle w:val="Hyperlink"/>
            <w:rFonts w:ascii="Arial" w:hAnsi="Arial" w:cs="Arial"/>
            <w:color w:val="auto"/>
            <w:sz w:val="24"/>
            <w:szCs w:val="24"/>
            <w:u w:val="none"/>
          </w:rPr>
          <w:t>larceny</w:t>
        </w:r>
      </w:hyperlink>
      <w:r w:rsidRPr="00245A59">
        <w:rPr>
          <w:rFonts w:ascii="Arial" w:hAnsi="Arial" w:cs="Arial"/>
          <w:sz w:val="24"/>
          <w:szCs w:val="24"/>
        </w:rPr>
        <w:t>.</w:t>
      </w:r>
    </w:p>
    <w:p w:rsidR="00245A59" w:rsidRPr="00245A59" w:rsidRDefault="00245A59" w:rsidP="00245A59">
      <w:pPr>
        <w:pStyle w:val="NormalWeb"/>
        <w:spacing w:before="120" w:beforeAutospacing="0" w:after="120" w:afterAutospacing="0"/>
        <w:rPr>
          <w:rFonts w:ascii="Arial" w:hAnsi="Arial" w:cs="Arial"/>
          <w:sz w:val="24"/>
          <w:szCs w:val="24"/>
        </w:rPr>
      </w:pPr>
      <w:r w:rsidRPr="00245A59">
        <w:rPr>
          <w:rFonts w:ascii="Arial" w:hAnsi="Arial" w:cs="Arial"/>
          <w:sz w:val="24"/>
          <w:szCs w:val="24"/>
        </w:rPr>
        <w:t xml:space="preserve">Gideon appeared in court </w:t>
      </w:r>
      <w:proofErr w:type="gramStart"/>
      <w:r w:rsidRPr="00245A59">
        <w:rPr>
          <w:rFonts w:ascii="Arial" w:hAnsi="Arial" w:cs="Arial"/>
          <w:sz w:val="24"/>
          <w:szCs w:val="24"/>
        </w:rPr>
        <w:t>alone</w:t>
      </w:r>
      <w:proofErr w:type="gramEnd"/>
      <w:r w:rsidRPr="00245A59">
        <w:rPr>
          <w:rFonts w:ascii="Arial" w:hAnsi="Arial" w:cs="Arial"/>
          <w:sz w:val="24"/>
          <w:szCs w:val="24"/>
        </w:rPr>
        <w:t xml:space="preserve"> as he was too poor to afford counsel, whereupon the following conversation took place: </w:t>
      </w:r>
    </w:p>
    <w:p w:rsidR="00245A59" w:rsidRPr="00245A59" w:rsidRDefault="00245A59" w:rsidP="00245A59">
      <w:pPr>
        <w:pStyle w:val="NormalWeb"/>
        <w:spacing w:before="120" w:beforeAutospacing="0" w:after="120" w:afterAutospacing="0"/>
        <w:rPr>
          <w:rFonts w:ascii="Arial" w:hAnsi="Arial" w:cs="Arial"/>
          <w:sz w:val="24"/>
          <w:szCs w:val="24"/>
        </w:rPr>
      </w:pPr>
      <w:r w:rsidRPr="00245A59">
        <w:rPr>
          <w:rFonts w:ascii="Arial" w:hAnsi="Arial" w:cs="Arial"/>
          <w:sz w:val="24"/>
          <w:szCs w:val="24"/>
        </w:rPr>
        <w:t>The Florida court declined to appoint counsel for Gideon. As a result, he was forced to act as his own counsel and conduct his own defense in court, emphasizing his innocence in the case. At the conclusion of the trial the jury returned a guilty verdict. The court sentenced Gideon to serve five years in the state prison.</w:t>
      </w:r>
    </w:p>
    <w:p w:rsidR="00245A59" w:rsidRDefault="00245A59" w:rsidP="00245A59">
      <w:pPr>
        <w:pStyle w:val="NormalWeb"/>
        <w:spacing w:before="120" w:beforeAutospacing="0" w:after="120" w:afterAutospacing="0"/>
        <w:rPr>
          <w:rFonts w:ascii="Arial" w:hAnsi="Arial" w:cs="Arial"/>
          <w:sz w:val="24"/>
          <w:szCs w:val="24"/>
        </w:rPr>
      </w:pPr>
      <w:r w:rsidRPr="00245A59">
        <w:rPr>
          <w:rFonts w:ascii="Arial" w:hAnsi="Arial" w:cs="Arial"/>
          <w:sz w:val="24"/>
          <w:szCs w:val="24"/>
        </w:rPr>
        <w:t>From the cell at</w:t>
      </w:r>
      <w:r w:rsidRPr="00245A59">
        <w:rPr>
          <w:rStyle w:val="apple-converted-space"/>
          <w:rFonts w:ascii="Arial" w:hAnsi="Arial" w:cs="Arial"/>
          <w:sz w:val="24"/>
          <w:szCs w:val="24"/>
        </w:rPr>
        <w:t> </w:t>
      </w:r>
      <w:hyperlink r:id="rId9" w:tooltip="Florida State Prison" w:history="1">
        <w:r w:rsidRPr="00245A59">
          <w:rPr>
            <w:rStyle w:val="Hyperlink"/>
            <w:rFonts w:ascii="Arial" w:hAnsi="Arial" w:cs="Arial"/>
            <w:color w:val="auto"/>
            <w:sz w:val="24"/>
            <w:szCs w:val="24"/>
            <w:u w:val="none"/>
          </w:rPr>
          <w:t>Florida State Prison</w:t>
        </w:r>
      </w:hyperlink>
      <w:r w:rsidRPr="00245A59">
        <w:rPr>
          <w:rFonts w:ascii="Arial" w:hAnsi="Arial" w:cs="Arial"/>
          <w:sz w:val="24"/>
          <w:szCs w:val="24"/>
        </w:rPr>
        <w:t>, making use of the prison library and writing in pencil on prison stationery, Gideon appealed to the United States Supreme Court in a suit against the Secretary of the</w:t>
      </w:r>
      <w:r w:rsidRPr="00245A59">
        <w:rPr>
          <w:rStyle w:val="apple-converted-space"/>
          <w:rFonts w:ascii="Arial" w:hAnsi="Arial" w:cs="Arial"/>
          <w:sz w:val="24"/>
          <w:szCs w:val="24"/>
        </w:rPr>
        <w:t> </w:t>
      </w:r>
      <w:hyperlink r:id="rId10" w:tooltip="Florida Department of Corrections" w:history="1">
        <w:r w:rsidRPr="00245A59">
          <w:rPr>
            <w:rStyle w:val="Hyperlink"/>
            <w:rFonts w:ascii="Arial" w:hAnsi="Arial" w:cs="Arial"/>
            <w:color w:val="auto"/>
            <w:sz w:val="24"/>
            <w:szCs w:val="24"/>
            <w:u w:val="none"/>
          </w:rPr>
          <w:t>Florida Department of Corrections</w:t>
        </w:r>
      </w:hyperlink>
      <w:r w:rsidRPr="00245A59">
        <w:rPr>
          <w:rFonts w:ascii="Arial" w:hAnsi="Arial" w:cs="Arial"/>
          <w:sz w:val="24"/>
          <w:szCs w:val="24"/>
        </w:rPr>
        <w:t>, H.G. Cochran. Cochran later retired and was replaced with</w:t>
      </w:r>
      <w:r w:rsidRPr="00245A59">
        <w:rPr>
          <w:rStyle w:val="apple-converted-space"/>
          <w:rFonts w:ascii="Arial" w:hAnsi="Arial" w:cs="Arial"/>
          <w:sz w:val="24"/>
          <w:szCs w:val="24"/>
        </w:rPr>
        <w:t> </w:t>
      </w:r>
      <w:hyperlink r:id="rId11" w:tooltip="Louie L. Wainwright" w:history="1">
        <w:r w:rsidRPr="00245A59">
          <w:rPr>
            <w:rStyle w:val="Hyperlink"/>
            <w:rFonts w:ascii="Arial" w:hAnsi="Arial" w:cs="Arial"/>
            <w:color w:val="auto"/>
            <w:sz w:val="24"/>
            <w:szCs w:val="24"/>
            <w:u w:val="none"/>
          </w:rPr>
          <w:t>Louie L. Wainwright</w:t>
        </w:r>
      </w:hyperlink>
      <w:r w:rsidRPr="00245A59">
        <w:rPr>
          <w:rStyle w:val="apple-converted-space"/>
          <w:rFonts w:ascii="Arial" w:hAnsi="Arial" w:cs="Arial"/>
          <w:sz w:val="24"/>
          <w:szCs w:val="24"/>
        </w:rPr>
        <w:t> </w:t>
      </w:r>
      <w:r w:rsidRPr="00245A59">
        <w:rPr>
          <w:rFonts w:ascii="Arial" w:hAnsi="Arial" w:cs="Arial"/>
          <w:sz w:val="24"/>
          <w:szCs w:val="24"/>
        </w:rPr>
        <w:t xml:space="preserve">before the </w:t>
      </w:r>
      <w:proofErr w:type="gramStart"/>
      <w:r w:rsidRPr="00245A59">
        <w:rPr>
          <w:rFonts w:ascii="Arial" w:hAnsi="Arial" w:cs="Arial"/>
          <w:sz w:val="24"/>
          <w:szCs w:val="24"/>
        </w:rPr>
        <w:t>case was heard by the Supreme Court</w:t>
      </w:r>
      <w:proofErr w:type="gramEnd"/>
      <w:r w:rsidRPr="00245A59">
        <w:rPr>
          <w:rFonts w:ascii="Arial" w:hAnsi="Arial" w:cs="Arial"/>
          <w:sz w:val="24"/>
          <w:szCs w:val="24"/>
        </w:rPr>
        <w:t xml:space="preserve">. </w:t>
      </w:r>
      <w:r w:rsidRPr="00245A59">
        <w:rPr>
          <w:rFonts w:ascii="Arial" w:hAnsi="Arial" w:cs="Arial"/>
          <w:b/>
          <w:i/>
          <w:sz w:val="24"/>
          <w:szCs w:val="24"/>
        </w:rPr>
        <w:t>Gideon argued in his appeal that he had been denied counsel and, therefore, his Sixth Amendment rights, as applied to the states by the</w:t>
      </w:r>
      <w:r w:rsidRPr="00245A59">
        <w:rPr>
          <w:rStyle w:val="apple-converted-space"/>
          <w:rFonts w:ascii="Arial" w:hAnsi="Arial" w:cs="Arial"/>
          <w:b/>
          <w:i/>
          <w:sz w:val="24"/>
          <w:szCs w:val="24"/>
        </w:rPr>
        <w:t> </w:t>
      </w:r>
      <w:hyperlink r:id="rId12" w:tooltip="Fourteenth Amendment to the United States Constitution" w:history="1">
        <w:r w:rsidRPr="00245A59">
          <w:rPr>
            <w:rStyle w:val="Hyperlink"/>
            <w:rFonts w:ascii="Arial" w:hAnsi="Arial" w:cs="Arial"/>
            <w:b/>
            <w:i/>
            <w:color w:val="auto"/>
            <w:sz w:val="24"/>
            <w:szCs w:val="24"/>
            <w:u w:val="none"/>
          </w:rPr>
          <w:t>Fourteenth Amendment</w:t>
        </w:r>
      </w:hyperlink>
      <w:r w:rsidRPr="00245A59">
        <w:rPr>
          <w:rFonts w:ascii="Arial" w:hAnsi="Arial" w:cs="Arial"/>
          <w:b/>
          <w:i/>
          <w:sz w:val="24"/>
          <w:szCs w:val="24"/>
        </w:rPr>
        <w:t>, had been violated.</w:t>
      </w:r>
    </w:p>
    <w:p w:rsidR="00245A59" w:rsidRDefault="00245A59" w:rsidP="00245A59">
      <w:pPr>
        <w:pStyle w:val="NormalWeb"/>
        <w:spacing w:before="120" w:beforeAutospacing="0" w:after="120" w:afterAutospacing="0"/>
        <w:rPr>
          <w:rFonts w:ascii="Arial" w:hAnsi="Arial" w:cs="Arial"/>
          <w:sz w:val="24"/>
          <w:szCs w:val="24"/>
        </w:rPr>
      </w:pPr>
    </w:p>
    <w:p w:rsidR="00245A59" w:rsidRDefault="00245A59" w:rsidP="00245A59">
      <w:pPr>
        <w:pStyle w:val="NormalWeb"/>
        <w:spacing w:before="120" w:beforeAutospacing="0" w:after="120" w:afterAutospacing="0"/>
        <w:rPr>
          <w:rFonts w:ascii="Arial" w:hAnsi="Arial" w:cs="Arial"/>
          <w:b/>
          <w:sz w:val="24"/>
          <w:szCs w:val="24"/>
        </w:rPr>
      </w:pPr>
      <w:r>
        <w:rPr>
          <w:rFonts w:ascii="Arial" w:hAnsi="Arial" w:cs="Arial"/>
          <w:b/>
          <w:sz w:val="24"/>
          <w:szCs w:val="24"/>
        </w:rPr>
        <w:t>Majority Opinion (Unanimous):</w:t>
      </w:r>
    </w:p>
    <w:p w:rsidR="00245A59" w:rsidRPr="00245A59" w:rsidRDefault="00245A59" w:rsidP="00245A59">
      <w:pPr>
        <w:pStyle w:val="NormalWeb"/>
        <w:spacing w:before="120" w:beforeAutospacing="0" w:after="120" w:afterAutospacing="0"/>
        <w:rPr>
          <w:rFonts w:ascii="Arial" w:hAnsi="Arial" w:cs="Arial"/>
          <w:b/>
          <w:i/>
          <w:sz w:val="24"/>
          <w:szCs w:val="24"/>
        </w:rPr>
      </w:pPr>
      <w:r w:rsidRPr="00245A59">
        <w:rPr>
          <w:rFonts w:ascii="Arial" w:hAnsi="Arial" w:cs="Arial"/>
          <w:sz w:val="24"/>
          <w:szCs w:val="24"/>
        </w:rPr>
        <w:t>The Supreme Court's decision was announced on March 18, 1963, and delivered by Justice</w:t>
      </w:r>
      <w:r w:rsidRPr="00245A59">
        <w:rPr>
          <w:rStyle w:val="apple-converted-space"/>
          <w:rFonts w:ascii="Arial" w:hAnsi="Arial" w:cs="Arial"/>
          <w:sz w:val="24"/>
          <w:szCs w:val="24"/>
        </w:rPr>
        <w:t> </w:t>
      </w:r>
      <w:hyperlink r:id="rId13" w:tooltip="Hugo Black" w:history="1">
        <w:r w:rsidRPr="00245A59">
          <w:rPr>
            <w:rStyle w:val="Hyperlink"/>
            <w:rFonts w:ascii="Arial" w:hAnsi="Arial" w:cs="Arial"/>
            <w:color w:val="auto"/>
            <w:sz w:val="24"/>
            <w:szCs w:val="24"/>
            <w:u w:val="none"/>
          </w:rPr>
          <w:t>Hugo Black</w:t>
        </w:r>
      </w:hyperlink>
      <w:r w:rsidRPr="00245A59">
        <w:rPr>
          <w:rFonts w:ascii="Arial" w:hAnsi="Arial" w:cs="Arial"/>
          <w:sz w:val="24"/>
          <w:szCs w:val="24"/>
        </w:rPr>
        <w:t xml:space="preserve">. The decision was announced as unanimous in favor of Gideon. </w:t>
      </w:r>
      <w:proofErr w:type="gramStart"/>
      <w:r w:rsidRPr="00245A59">
        <w:rPr>
          <w:rFonts w:ascii="Arial" w:hAnsi="Arial" w:cs="Arial"/>
          <w:sz w:val="24"/>
          <w:szCs w:val="24"/>
        </w:rPr>
        <w:t>Two concurring opinions were written by Justices</w:t>
      </w:r>
      <w:r w:rsidRPr="00245A59">
        <w:rPr>
          <w:rStyle w:val="apple-converted-space"/>
          <w:rFonts w:ascii="Arial" w:hAnsi="Arial" w:cs="Arial"/>
          <w:sz w:val="24"/>
          <w:szCs w:val="24"/>
        </w:rPr>
        <w:t> </w:t>
      </w:r>
      <w:hyperlink r:id="rId14" w:tooltip="Tom C. Clark" w:history="1">
        <w:r w:rsidRPr="00245A59">
          <w:rPr>
            <w:rStyle w:val="Hyperlink"/>
            <w:rFonts w:ascii="Arial" w:hAnsi="Arial" w:cs="Arial"/>
            <w:color w:val="auto"/>
            <w:sz w:val="24"/>
            <w:szCs w:val="24"/>
            <w:u w:val="none"/>
          </w:rPr>
          <w:t>Clark</w:t>
        </w:r>
      </w:hyperlink>
      <w:r w:rsidRPr="00245A59">
        <w:rPr>
          <w:rStyle w:val="apple-converted-space"/>
          <w:rFonts w:ascii="Arial" w:hAnsi="Arial" w:cs="Arial"/>
          <w:sz w:val="24"/>
          <w:szCs w:val="24"/>
        </w:rPr>
        <w:t> </w:t>
      </w:r>
      <w:r w:rsidRPr="00245A59">
        <w:rPr>
          <w:rFonts w:ascii="Arial" w:hAnsi="Arial" w:cs="Arial"/>
          <w:sz w:val="24"/>
          <w:szCs w:val="24"/>
        </w:rPr>
        <w:t>and</w:t>
      </w:r>
      <w:r w:rsidRPr="00245A59">
        <w:rPr>
          <w:rStyle w:val="apple-converted-space"/>
          <w:rFonts w:ascii="Arial" w:hAnsi="Arial" w:cs="Arial"/>
          <w:sz w:val="24"/>
          <w:szCs w:val="24"/>
        </w:rPr>
        <w:t> </w:t>
      </w:r>
      <w:hyperlink r:id="rId15" w:tooltip="William O. Douglas" w:history="1">
        <w:r w:rsidRPr="00245A59">
          <w:rPr>
            <w:rStyle w:val="Hyperlink"/>
            <w:rFonts w:ascii="Arial" w:hAnsi="Arial" w:cs="Arial"/>
            <w:color w:val="auto"/>
            <w:sz w:val="24"/>
            <w:szCs w:val="24"/>
            <w:u w:val="none"/>
          </w:rPr>
          <w:t>Douglas</w:t>
        </w:r>
        <w:proofErr w:type="gramEnd"/>
      </w:hyperlink>
      <w:r w:rsidRPr="00245A59">
        <w:rPr>
          <w:rFonts w:ascii="Arial" w:hAnsi="Arial" w:cs="Arial"/>
          <w:sz w:val="24"/>
          <w:szCs w:val="24"/>
        </w:rPr>
        <w:t>. The Supreme Court decision specifically cited its previous ruling in</w:t>
      </w:r>
      <w:r w:rsidRPr="00245A59">
        <w:rPr>
          <w:rStyle w:val="apple-converted-space"/>
          <w:rFonts w:ascii="Arial" w:hAnsi="Arial" w:cs="Arial"/>
          <w:sz w:val="24"/>
          <w:szCs w:val="24"/>
        </w:rPr>
        <w:t> </w:t>
      </w:r>
      <w:r>
        <w:rPr>
          <w:rFonts w:ascii="Arial" w:hAnsi="Arial" w:cs="Arial"/>
          <w:i/>
          <w:iCs/>
          <w:sz w:val="24"/>
          <w:szCs w:val="24"/>
        </w:rPr>
        <w:t>Powell v. Alabama.</w:t>
      </w:r>
      <w:r w:rsidRPr="00245A59">
        <w:rPr>
          <w:rFonts w:ascii="Arial" w:hAnsi="Arial" w:cs="Arial"/>
          <w:sz w:val="24"/>
          <w:szCs w:val="24"/>
        </w:rPr>
        <w:t xml:space="preserve"> Whether or not the decision in</w:t>
      </w:r>
      <w:r w:rsidRPr="00245A59">
        <w:rPr>
          <w:rStyle w:val="apple-converted-space"/>
          <w:rFonts w:ascii="Arial" w:hAnsi="Arial" w:cs="Arial"/>
          <w:sz w:val="24"/>
          <w:szCs w:val="24"/>
        </w:rPr>
        <w:t> </w:t>
      </w:r>
      <w:r w:rsidRPr="00245A59">
        <w:rPr>
          <w:rFonts w:ascii="Arial" w:hAnsi="Arial" w:cs="Arial"/>
          <w:i/>
          <w:iCs/>
          <w:sz w:val="24"/>
          <w:szCs w:val="24"/>
        </w:rPr>
        <w:t>Powell v. Alabama</w:t>
      </w:r>
      <w:r w:rsidRPr="00245A59">
        <w:rPr>
          <w:rStyle w:val="apple-converted-space"/>
          <w:rFonts w:ascii="Arial" w:hAnsi="Arial" w:cs="Arial"/>
          <w:sz w:val="24"/>
          <w:szCs w:val="24"/>
        </w:rPr>
        <w:t> </w:t>
      </w:r>
      <w:r w:rsidRPr="00245A59">
        <w:rPr>
          <w:rFonts w:ascii="Arial" w:hAnsi="Arial" w:cs="Arial"/>
          <w:sz w:val="24"/>
          <w:szCs w:val="24"/>
        </w:rPr>
        <w:t>applied to non-capital cases had sparked heated debate.</w:t>
      </w:r>
      <w:r w:rsidRPr="00245A59">
        <w:rPr>
          <w:rStyle w:val="apple-converted-space"/>
          <w:rFonts w:ascii="Arial" w:hAnsi="Arial" w:cs="Arial"/>
          <w:sz w:val="24"/>
          <w:szCs w:val="24"/>
        </w:rPr>
        <w:t> </w:t>
      </w:r>
      <w:hyperlink r:id="rId16" w:tooltip="Betts v. Brady" w:history="1">
        <w:r w:rsidRPr="00245A59">
          <w:rPr>
            <w:rStyle w:val="Hyperlink"/>
            <w:rFonts w:ascii="Arial" w:hAnsi="Arial" w:cs="Arial"/>
            <w:i/>
            <w:iCs/>
            <w:color w:val="auto"/>
            <w:sz w:val="24"/>
            <w:szCs w:val="24"/>
            <w:u w:val="none"/>
          </w:rPr>
          <w:t>Betts v. Brady</w:t>
        </w:r>
      </w:hyperlink>
      <w:r w:rsidRPr="00245A59">
        <w:rPr>
          <w:rStyle w:val="apple-converted-space"/>
          <w:rFonts w:ascii="Arial" w:hAnsi="Arial" w:cs="Arial"/>
          <w:sz w:val="24"/>
          <w:szCs w:val="24"/>
        </w:rPr>
        <w:t> </w:t>
      </w:r>
      <w:r w:rsidRPr="00245A59">
        <w:rPr>
          <w:rFonts w:ascii="Arial" w:hAnsi="Arial" w:cs="Arial"/>
          <w:sz w:val="24"/>
          <w:szCs w:val="24"/>
        </w:rPr>
        <w:t>had earlier held that, unless certain circumstances were present, such as illiteracy or stupidity of the defendant, or an especially complicated case, there was no need for a court-appointed attorney in state court criminal proceedings.</w:t>
      </w:r>
      <w:r w:rsidRPr="00245A59">
        <w:rPr>
          <w:rStyle w:val="apple-converted-space"/>
          <w:rFonts w:ascii="Arial" w:hAnsi="Arial" w:cs="Arial"/>
          <w:sz w:val="24"/>
          <w:szCs w:val="24"/>
        </w:rPr>
        <w:t> </w:t>
      </w:r>
      <w:r w:rsidRPr="00245A59">
        <w:rPr>
          <w:rFonts w:ascii="Arial" w:hAnsi="Arial" w:cs="Arial"/>
          <w:i/>
          <w:iCs/>
          <w:sz w:val="24"/>
          <w:szCs w:val="24"/>
        </w:rPr>
        <w:t>Betts</w:t>
      </w:r>
      <w:r w:rsidRPr="00245A59">
        <w:rPr>
          <w:rStyle w:val="apple-converted-space"/>
          <w:rFonts w:ascii="Arial" w:hAnsi="Arial" w:cs="Arial"/>
          <w:sz w:val="24"/>
          <w:szCs w:val="24"/>
        </w:rPr>
        <w:t> </w:t>
      </w:r>
      <w:r w:rsidRPr="00245A59">
        <w:rPr>
          <w:rFonts w:ascii="Arial" w:hAnsi="Arial" w:cs="Arial"/>
          <w:sz w:val="24"/>
          <w:szCs w:val="24"/>
        </w:rPr>
        <w:t>had thus provided selective application of the Sixth Amendment right to counsel to the states, depending on the circumstances, as the Sixth Amendment had only been held binding in federal cases.</w:t>
      </w:r>
      <w:r w:rsidRPr="00245A59">
        <w:rPr>
          <w:rStyle w:val="apple-converted-space"/>
          <w:rFonts w:ascii="Arial" w:hAnsi="Arial" w:cs="Arial"/>
          <w:sz w:val="24"/>
          <w:szCs w:val="24"/>
        </w:rPr>
        <w:t> </w:t>
      </w:r>
      <w:r w:rsidRPr="00245A59">
        <w:rPr>
          <w:rFonts w:ascii="Arial" w:hAnsi="Arial" w:cs="Arial"/>
          <w:b/>
          <w:i/>
          <w:iCs/>
          <w:sz w:val="24"/>
          <w:szCs w:val="24"/>
        </w:rPr>
        <w:t xml:space="preserve">Gideon v. Wainwright </w:t>
      </w:r>
      <w:r w:rsidRPr="00245A59">
        <w:rPr>
          <w:rFonts w:ascii="Arial" w:hAnsi="Arial" w:cs="Arial"/>
          <w:b/>
          <w:i/>
          <w:sz w:val="24"/>
          <w:szCs w:val="24"/>
        </w:rPr>
        <w:t>overruled</w:t>
      </w:r>
      <w:r w:rsidRPr="00245A59">
        <w:rPr>
          <w:rStyle w:val="apple-converted-space"/>
          <w:rFonts w:ascii="Arial" w:hAnsi="Arial" w:cs="Arial"/>
          <w:b/>
          <w:i/>
          <w:sz w:val="24"/>
          <w:szCs w:val="24"/>
        </w:rPr>
        <w:t> </w:t>
      </w:r>
      <w:r w:rsidRPr="00245A59">
        <w:rPr>
          <w:rFonts w:ascii="Arial" w:hAnsi="Arial" w:cs="Arial"/>
          <w:b/>
          <w:i/>
          <w:iCs/>
          <w:sz w:val="24"/>
          <w:szCs w:val="24"/>
        </w:rPr>
        <w:t>Betts v. Brady</w:t>
      </w:r>
      <w:r w:rsidRPr="00245A59">
        <w:rPr>
          <w:rFonts w:ascii="Arial" w:hAnsi="Arial" w:cs="Arial"/>
          <w:b/>
          <w:i/>
          <w:sz w:val="24"/>
          <w:szCs w:val="24"/>
        </w:rPr>
        <w:t>, instead holding that the assistance of counsel, if desired by a defendant who could not afford to hire counsel, was a fundamental right under the United States Constitution, binding on the states, and essential for a fair trial and due process of law regardless of the circumstances of the case.</w:t>
      </w:r>
    </w:p>
    <w:p w:rsidR="00245A59" w:rsidRPr="00245A59" w:rsidRDefault="00245A59" w:rsidP="00245A59">
      <w:pPr>
        <w:pStyle w:val="NormalWeb"/>
        <w:spacing w:before="120" w:beforeAutospacing="0" w:after="120" w:afterAutospacing="0"/>
        <w:rPr>
          <w:rFonts w:ascii="Arial" w:hAnsi="Arial" w:cs="Arial"/>
          <w:sz w:val="24"/>
          <w:szCs w:val="24"/>
        </w:rPr>
      </w:pPr>
      <w:r w:rsidRPr="00245A59">
        <w:rPr>
          <w:rFonts w:ascii="Arial" w:hAnsi="Arial" w:cs="Arial"/>
          <w:sz w:val="24"/>
          <w:szCs w:val="24"/>
        </w:rPr>
        <w:lastRenderedPageBreak/>
        <w:t xml:space="preserve">Justice Clark's concurring opinion stated that the </w:t>
      </w:r>
      <w:r w:rsidRPr="00245A59">
        <w:rPr>
          <w:rFonts w:ascii="Arial" w:hAnsi="Arial" w:cs="Arial"/>
          <w:b/>
          <w:i/>
          <w:sz w:val="24"/>
          <w:szCs w:val="24"/>
        </w:rPr>
        <w:t>Sixth Amendment to the Constitution does not distinguish between capital and non-capital cases, so legal counsel must be provided for an indigent defendant in all cases.</w:t>
      </w:r>
      <w:r>
        <w:rPr>
          <w:rFonts w:ascii="Arial" w:hAnsi="Arial" w:cs="Arial"/>
          <w:sz w:val="24"/>
          <w:szCs w:val="24"/>
          <w:vertAlign w:val="superscript"/>
        </w:rPr>
        <w:t xml:space="preserve"> </w:t>
      </w:r>
      <w:r w:rsidRPr="00245A59">
        <w:rPr>
          <w:rStyle w:val="apple-converted-space"/>
          <w:rFonts w:ascii="Arial" w:hAnsi="Arial" w:cs="Arial"/>
          <w:sz w:val="24"/>
          <w:szCs w:val="24"/>
        </w:rPr>
        <w:t> </w:t>
      </w:r>
      <w:r w:rsidRPr="00245A59">
        <w:rPr>
          <w:rFonts w:ascii="Arial" w:hAnsi="Arial" w:cs="Arial"/>
          <w:sz w:val="24"/>
          <w:szCs w:val="24"/>
        </w:rPr>
        <w:t>Justice Harlan's concurring opinion stated that the mere existence of a serious criminal charge in itself constituted special circumstances requiring the services of counsel at trial.</w:t>
      </w:r>
    </w:p>
    <w:p w:rsidR="00245A59" w:rsidRPr="00B10618" w:rsidRDefault="00B10618" w:rsidP="00245A59">
      <w:pPr>
        <w:pStyle w:val="NormalWeb"/>
        <w:spacing w:before="120" w:beforeAutospacing="0" w:after="120" w:afterAutospacing="0"/>
        <w:rPr>
          <w:rFonts w:ascii="Arial" w:hAnsi="Arial" w:cs="Arial"/>
          <w:b/>
          <w:sz w:val="24"/>
          <w:szCs w:val="24"/>
        </w:rPr>
      </w:pPr>
      <w:r>
        <w:rPr>
          <w:rFonts w:ascii="Arial" w:hAnsi="Arial" w:cs="Arial"/>
          <w:b/>
          <w:sz w:val="24"/>
          <w:szCs w:val="24"/>
        </w:rPr>
        <w:t>Further Extending The Right To Counsel SCOTUS Cases:</w:t>
      </w:r>
    </w:p>
    <w:p w:rsidR="00245A59" w:rsidRDefault="00245A59" w:rsidP="00245A59">
      <w:pPr>
        <w:pStyle w:val="NormalWeb"/>
        <w:spacing w:before="120" w:beforeAutospacing="0" w:after="120" w:afterAutospacing="0"/>
        <w:rPr>
          <w:rFonts w:ascii="Arial" w:hAnsi="Arial" w:cs="Arial"/>
          <w:b/>
          <w:sz w:val="24"/>
          <w:szCs w:val="24"/>
        </w:rPr>
      </w:pPr>
      <w:r w:rsidRPr="00245A59">
        <w:rPr>
          <w:rFonts w:ascii="Arial" w:hAnsi="Arial" w:cs="Arial"/>
          <w:i/>
          <w:iCs/>
          <w:sz w:val="24"/>
          <w:szCs w:val="24"/>
        </w:rPr>
        <w:t>Gideon v. Wainwright</w:t>
      </w:r>
      <w:r w:rsidRPr="00245A59">
        <w:rPr>
          <w:rStyle w:val="apple-converted-space"/>
          <w:rFonts w:ascii="Arial" w:hAnsi="Arial" w:cs="Arial"/>
          <w:sz w:val="24"/>
          <w:szCs w:val="24"/>
        </w:rPr>
        <w:t> </w:t>
      </w:r>
      <w:r w:rsidRPr="00245A59">
        <w:rPr>
          <w:rFonts w:ascii="Arial" w:hAnsi="Arial" w:cs="Arial"/>
          <w:sz w:val="24"/>
          <w:szCs w:val="24"/>
        </w:rPr>
        <w:t>was one of a series of Supreme Court decisions that confirmed the right of defendants in criminal proceedings, upon request, to have counsel appointed both during trial and on appeal. In the subsequent cases of</w:t>
      </w:r>
      <w:r w:rsidRPr="00245A59">
        <w:rPr>
          <w:rStyle w:val="apple-converted-space"/>
          <w:rFonts w:ascii="Arial" w:hAnsi="Arial" w:cs="Arial"/>
          <w:sz w:val="24"/>
          <w:szCs w:val="24"/>
        </w:rPr>
        <w:t> </w:t>
      </w:r>
      <w:hyperlink r:id="rId17" w:tooltip="Massiah v. United States" w:history="1">
        <w:proofErr w:type="spellStart"/>
        <w:r w:rsidRPr="00245A59">
          <w:rPr>
            <w:rStyle w:val="Hyperlink"/>
            <w:rFonts w:ascii="Arial" w:hAnsi="Arial" w:cs="Arial"/>
            <w:i/>
            <w:iCs/>
            <w:color w:val="auto"/>
            <w:sz w:val="24"/>
            <w:szCs w:val="24"/>
            <w:u w:val="none"/>
          </w:rPr>
          <w:t>Massiah</w:t>
        </w:r>
        <w:proofErr w:type="spellEnd"/>
        <w:r w:rsidRPr="00245A59">
          <w:rPr>
            <w:rStyle w:val="Hyperlink"/>
            <w:rFonts w:ascii="Arial" w:hAnsi="Arial" w:cs="Arial"/>
            <w:i/>
            <w:iCs/>
            <w:color w:val="auto"/>
            <w:sz w:val="24"/>
            <w:szCs w:val="24"/>
            <w:u w:val="none"/>
          </w:rPr>
          <w:t xml:space="preserve"> v. United States</w:t>
        </w:r>
      </w:hyperlink>
      <w:r w:rsidRPr="00245A59">
        <w:rPr>
          <w:rFonts w:ascii="Arial" w:hAnsi="Arial" w:cs="Arial"/>
          <w:i/>
          <w:iCs/>
          <w:sz w:val="24"/>
          <w:szCs w:val="24"/>
        </w:rPr>
        <w:t>,</w:t>
      </w:r>
      <w:r w:rsidRPr="00245A59">
        <w:rPr>
          <w:rFonts w:ascii="Arial" w:hAnsi="Arial" w:cs="Arial"/>
          <w:sz w:val="24"/>
          <w:szCs w:val="24"/>
        </w:rPr>
        <w:t xml:space="preserve"> (1964) and</w:t>
      </w:r>
      <w:r w:rsidRPr="00245A59">
        <w:rPr>
          <w:rStyle w:val="apple-converted-space"/>
          <w:rFonts w:ascii="Arial" w:hAnsi="Arial" w:cs="Arial"/>
          <w:sz w:val="24"/>
          <w:szCs w:val="24"/>
        </w:rPr>
        <w:t> </w:t>
      </w:r>
      <w:r w:rsidR="00B10618" w:rsidRPr="00B10618">
        <w:rPr>
          <w:rStyle w:val="apple-converted-space"/>
          <w:rFonts w:ascii="Arial" w:hAnsi="Arial" w:cs="Arial"/>
          <w:b/>
          <w:i/>
          <w:sz w:val="24"/>
          <w:szCs w:val="24"/>
        </w:rPr>
        <w:t>Miranda v. Arizona</w:t>
      </w:r>
      <w:r w:rsidRPr="00B10618">
        <w:rPr>
          <w:rFonts w:ascii="Arial" w:hAnsi="Arial" w:cs="Arial"/>
          <w:b/>
          <w:i/>
          <w:sz w:val="24"/>
          <w:szCs w:val="24"/>
        </w:rPr>
        <w:t xml:space="preserve"> (1966), the Supreme Court further extended the rule to apply even during police interrogation.</w:t>
      </w:r>
    </w:p>
    <w:p w:rsidR="00B10618" w:rsidRDefault="00B10618" w:rsidP="00245A59">
      <w:pPr>
        <w:pStyle w:val="NormalWeb"/>
        <w:spacing w:before="120" w:beforeAutospacing="0" w:after="120" w:afterAutospacing="0"/>
        <w:rPr>
          <w:rFonts w:ascii="Arial" w:hAnsi="Arial" w:cs="Arial"/>
          <w:b/>
          <w:sz w:val="24"/>
          <w:szCs w:val="24"/>
        </w:rPr>
      </w:pPr>
    </w:p>
    <w:p w:rsidR="00B10618" w:rsidRDefault="00B10618" w:rsidP="00245A59">
      <w:pPr>
        <w:pStyle w:val="NormalWeb"/>
        <w:spacing w:before="120" w:beforeAutospacing="0" w:after="120" w:afterAutospacing="0"/>
        <w:rPr>
          <w:rFonts w:ascii="Arial" w:hAnsi="Arial" w:cs="Arial"/>
          <w:b/>
          <w:sz w:val="24"/>
          <w:szCs w:val="24"/>
        </w:rPr>
      </w:pPr>
      <w:r>
        <w:rPr>
          <w:rFonts w:ascii="Arial" w:hAnsi="Arial" w:cs="Arial"/>
          <w:b/>
          <w:sz w:val="24"/>
          <w:szCs w:val="24"/>
        </w:rPr>
        <w:t>Other Impact</w:t>
      </w:r>
      <w:r w:rsidR="00735773">
        <w:rPr>
          <w:rFonts w:ascii="Arial" w:hAnsi="Arial" w:cs="Arial"/>
          <w:b/>
          <w:sz w:val="24"/>
          <w:szCs w:val="24"/>
        </w:rPr>
        <w:t>s</w:t>
      </w:r>
      <w:bookmarkStart w:id="0" w:name="_GoBack"/>
      <w:bookmarkEnd w:id="0"/>
      <w:r>
        <w:rPr>
          <w:rFonts w:ascii="Arial" w:hAnsi="Arial" w:cs="Arial"/>
          <w:b/>
          <w:sz w:val="24"/>
          <w:szCs w:val="24"/>
        </w:rPr>
        <w:t xml:space="preserve"> Based on Decision:</w:t>
      </w:r>
    </w:p>
    <w:p w:rsidR="00B10618" w:rsidRPr="00B10618" w:rsidRDefault="00B10618" w:rsidP="00B10618">
      <w:pPr>
        <w:rPr>
          <w:rFonts w:ascii="Arial" w:eastAsia="Times New Roman" w:hAnsi="Arial" w:cs="Arial"/>
        </w:rPr>
      </w:pPr>
      <w:r w:rsidRPr="00B10618">
        <w:rPr>
          <w:rFonts w:ascii="Arial" w:eastAsia="Times New Roman" w:hAnsi="Arial" w:cs="Arial"/>
          <w:shd w:val="clear" w:color="auto" w:fill="FFFFFF"/>
        </w:rPr>
        <w:t>The decision created and then expanded the need for public defenders</w:t>
      </w:r>
      <w:r>
        <w:rPr>
          <w:rFonts w:ascii="Arial" w:eastAsia="Times New Roman" w:hAnsi="Arial" w:cs="Arial"/>
          <w:shd w:val="clear" w:color="auto" w:fill="FFFFFF"/>
        </w:rPr>
        <w:t>,</w:t>
      </w:r>
      <w:r w:rsidRPr="00B10618">
        <w:rPr>
          <w:rFonts w:ascii="Arial" w:eastAsia="Times New Roman" w:hAnsi="Arial" w:cs="Arial"/>
          <w:shd w:val="clear" w:color="auto" w:fill="FFFFFF"/>
        </w:rPr>
        <w:t xml:space="preserve"> which had prev</w:t>
      </w:r>
      <w:r>
        <w:rPr>
          <w:rFonts w:ascii="Arial" w:eastAsia="Times New Roman" w:hAnsi="Arial" w:cs="Arial"/>
          <w:shd w:val="clear" w:color="auto" w:fill="FFFFFF"/>
        </w:rPr>
        <w:t>iously been rare. I</w:t>
      </w:r>
      <w:r w:rsidRPr="00B10618">
        <w:rPr>
          <w:rFonts w:ascii="Arial" w:eastAsia="Times New Roman" w:hAnsi="Arial" w:cs="Arial"/>
          <w:shd w:val="clear" w:color="auto" w:fill="FFFFFF"/>
        </w:rPr>
        <w:t>mmediately following the decision, Florida required </w:t>
      </w:r>
      <w:r w:rsidRPr="00B10618">
        <w:rPr>
          <w:rFonts w:ascii="Arial" w:eastAsia="Times New Roman" w:hAnsi="Arial" w:cs="Arial"/>
        </w:rPr>
        <w:t xml:space="preserve">public defenders </w:t>
      </w:r>
      <w:r w:rsidRPr="00B10618">
        <w:rPr>
          <w:rFonts w:ascii="Arial" w:eastAsia="Times New Roman" w:hAnsi="Arial" w:cs="Arial"/>
          <w:shd w:val="clear" w:color="auto" w:fill="FFFFFF"/>
        </w:rPr>
        <w:t>in all of the state's circuit courts</w:t>
      </w:r>
      <w:r>
        <w:rPr>
          <w:rFonts w:ascii="Arial" w:eastAsia="Times New Roman" w:hAnsi="Arial" w:cs="Arial"/>
          <w:shd w:val="clear" w:color="auto" w:fill="FFFFFF"/>
        </w:rPr>
        <w:t xml:space="preserve">.  </w:t>
      </w:r>
      <w:r w:rsidRPr="00B10618">
        <w:rPr>
          <w:rFonts w:ascii="Arial" w:eastAsia="Times New Roman" w:hAnsi="Arial" w:cs="Arial"/>
          <w:shd w:val="clear" w:color="auto" w:fill="FFFFFF"/>
        </w:rPr>
        <w:t>The need for more public defenders also led to a need to ensure that they were properly trained in criminal defense in order to allow defendants to receive as fair a trial as possible.</w:t>
      </w:r>
    </w:p>
    <w:p w:rsidR="00B10618" w:rsidRPr="00B10618" w:rsidRDefault="00B10618" w:rsidP="00245A59">
      <w:pPr>
        <w:pStyle w:val="NormalWeb"/>
        <w:spacing w:before="120" w:beforeAutospacing="0" w:after="120" w:afterAutospacing="0"/>
        <w:rPr>
          <w:rFonts w:ascii="Arial" w:hAnsi="Arial" w:cs="Arial"/>
          <w:sz w:val="24"/>
          <w:szCs w:val="24"/>
        </w:rPr>
      </w:pPr>
    </w:p>
    <w:p w:rsidR="00245A59" w:rsidRPr="00245A59" w:rsidRDefault="00245A59" w:rsidP="00245A59">
      <w:pPr>
        <w:pStyle w:val="NormalWeb"/>
        <w:spacing w:before="120" w:beforeAutospacing="0" w:after="120" w:afterAutospacing="0"/>
        <w:rPr>
          <w:rFonts w:ascii="Arial" w:hAnsi="Arial" w:cs="Arial"/>
          <w:sz w:val="24"/>
          <w:szCs w:val="24"/>
        </w:rPr>
      </w:pPr>
    </w:p>
    <w:p w:rsidR="00245A59" w:rsidRPr="00245A59" w:rsidRDefault="00245A59" w:rsidP="00245A59">
      <w:pPr>
        <w:rPr>
          <w:rFonts w:ascii="Arial" w:hAnsi="Arial" w:cs="Arial"/>
        </w:rPr>
      </w:pPr>
    </w:p>
    <w:sectPr w:rsidR="00245A59" w:rsidRPr="00245A59"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59"/>
    <w:rsid w:val="00245A59"/>
    <w:rsid w:val="00735773"/>
    <w:rsid w:val="0086074E"/>
    <w:rsid w:val="00A84F35"/>
    <w:rsid w:val="00AC26F2"/>
    <w:rsid w:val="00B1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A5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5A59"/>
  </w:style>
  <w:style w:type="character" w:styleId="Hyperlink">
    <w:name w:val="Hyperlink"/>
    <w:basedOn w:val="DefaultParagraphFont"/>
    <w:uiPriority w:val="99"/>
    <w:semiHidden/>
    <w:unhideWhenUsed/>
    <w:rsid w:val="00245A59"/>
    <w:rPr>
      <w:color w:val="0000FF"/>
      <w:u w:val="single"/>
    </w:rPr>
  </w:style>
  <w:style w:type="character" w:styleId="FollowedHyperlink">
    <w:name w:val="FollowedHyperlink"/>
    <w:basedOn w:val="DefaultParagraphFont"/>
    <w:uiPriority w:val="99"/>
    <w:semiHidden/>
    <w:unhideWhenUsed/>
    <w:rsid w:val="00245A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A5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5A59"/>
  </w:style>
  <w:style w:type="character" w:styleId="Hyperlink">
    <w:name w:val="Hyperlink"/>
    <w:basedOn w:val="DefaultParagraphFont"/>
    <w:uiPriority w:val="99"/>
    <w:semiHidden/>
    <w:unhideWhenUsed/>
    <w:rsid w:val="00245A59"/>
    <w:rPr>
      <w:color w:val="0000FF"/>
      <w:u w:val="single"/>
    </w:rPr>
  </w:style>
  <w:style w:type="character" w:styleId="FollowedHyperlink">
    <w:name w:val="FollowedHyperlink"/>
    <w:basedOn w:val="DefaultParagraphFont"/>
    <w:uiPriority w:val="99"/>
    <w:semiHidden/>
    <w:unhideWhenUsed/>
    <w:rsid w:val="002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9749">
      <w:bodyDiv w:val="1"/>
      <w:marLeft w:val="0"/>
      <w:marRight w:val="0"/>
      <w:marTop w:val="0"/>
      <w:marBottom w:val="0"/>
      <w:divBdr>
        <w:top w:val="none" w:sz="0" w:space="0" w:color="auto"/>
        <w:left w:val="none" w:sz="0" w:space="0" w:color="auto"/>
        <w:bottom w:val="none" w:sz="0" w:space="0" w:color="auto"/>
        <w:right w:val="none" w:sz="0" w:space="0" w:color="auto"/>
      </w:divBdr>
    </w:div>
    <w:div w:id="945229498">
      <w:bodyDiv w:val="1"/>
      <w:marLeft w:val="0"/>
      <w:marRight w:val="0"/>
      <w:marTop w:val="0"/>
      <w:marBottom w:val="0"/>
      <w:divBdr>
        <w:top w:val="none" w:sz="0" w:space="0" w:color="auto"/>
        <w:left w:val="none" w:sz="0" w:space="0" w:color="auto"/>
        <w:bottom w:val="none" w:sz="0" w:space="0" w:color="auto"/>
        <w:right w:val="none" w:sz="0" w:space="0" w:color="auto"/>
      </w:divBdr>
    </w:div>
    <w:div w:id="1950816371">
      <w:bodyDiv w:val="1"/>
      <w:marLeft w:val="0"/>
      <w:marRight w:val="0"/>
      <w:marTop w:val="0"/>
      <w:marBottom w:val="0"/>
      <w:divBdr>
        <w:top w:val="none" w:sz="0" w:space="0" w:color="auto"/>
        <w:left w:val="none" w:sz="0" w:space="0" w:color="auto"/>
        <w:bottom w:val="none" w:sz="0" w:space="0" w:color="auto"/>
        <w:right w:val="none" w:sz="0" w:space="0" w:color="auto"/>
      </w:divBdr>
    </w:div>
    <w:div w:id="2030795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Louie_L._Wainwright" TargetMode="External"/><Relationship Id="rId12" Type="http://schemas.openxmlformats.org/officeDocument/2006/relationships/hyperlink" Target="https://en.wikipedia.org/wiki/Fourteenth_Amendment_to_the_United_States_Constitution" TargetMode="External"/><Relationship Id="rId13" Type="http://schemas.openxmlformats.org/officeDocument/2006/relationships/hyperlink" Target="https://en.wikipedia.org/wiki/Hugo_Black" TargetMode="External"/><Relationship Id="rId14" Type="http://schemas.openxmlformats.org/officeDocument/2006/relationships/hyperlink" Target="https://en.wikipedia.org/wiki/Tom_C._Clark" TargetMode="External"/><Relationship Id="rId15" Type="http://schemas.openxmlformats.org/officeDocument/2006/relationships/hyperlink" Target="https://en.wikipedia.org/wiki/William_O._Douglas" TargetMode="External"/><Relationship Id="rId16" Type="http://schemas.openxmlformats.org/officeDocument/2006/relationships/hyperlink" Target="https://en.wikipedia.org/wiki/Betts_v._Brady" TargetMode="External"/><Relationship Id="rId17" Type="http://schemas.openxmlformats.org/officeDocument/2006/relationships/hyperlink" Target="https://en.wikipedia.org/wiki/Massiah_v._United_Stat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Panama_City,_Florida" TargetMode="External"/><Relationship Id="rId6" Type="http://schemas.openxmlformats.org/officeDocument/2006/relationships/hyperlink" Target="https://en.wikipedia.org/wiki/Florida" TargetMode="External"/><Relationship Id="rId7" Type="http://schemas.openxmlformats.org/officeDocument/2006/relationships/hyperlink" Target="https://en.wikipedia.org/wiki/Clarence_Earl_Gideon" TargetMode="External"/><Relationship Id="rId8" Type="http://schemas.openxmlformats.org/officeDocument/2006/relationships/hyperlink" Target="https://en.wikipedia.org/wiki/Larceny" TargetMode="External"/><Relationship Id="rId9" Type="http://schemas.openxmlformats.org/officeDocument/2006/relationships/hyperlink" Target="https://en.wikipedia.org/wiki/Florida_State_Prison" TargetMode="External"/><Relationship Id="rId10" Type="http://schemas.openxmlformats.org/officeDocument/2006/relationships/hyperlink" Target="https://en.wikipedia.org/wiki/Florida_Department_of_Cor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799</Words>
  <Characters>4559</Characters>
  <Application>Microsoft Macintosh Word</Application>
  <DocSecurity>0</DocSecurity>
  <Lines>37</Lines>
  <Paragraphs>10</Paragraphs>
  <ScaleCrop>false</ScaleCrop>
  <Company>SBBC</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2018-06-24T15:10:00Z</dcterms:created>
  <dcterms:modified xsi:type="dcterms:W3CDTF">2018-06-24T15:38:00Z</dcterms:modified>
</cp:coreProperties>
</file>