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Default="00414A3E" w:rsidP="00414A3E">
      <w:pPr>
        <w:jc w:val="center"/>
        <w:rPr>
          <w:rFonts w:ascii="Arial" w:hAnsi="Arial" w:cs="Arial"/>
          <w:b/>
          <w:sz w:val="28"/>
          <w:szCs w:val="28"/>
        </w:rPr>
      </w:pPr>
      <w:r>
        <w:rPr>
          <w:rFonts w:ascii="Arial" w:hAnsi="Arial" w:cs="Arial"/>
          <w:b/>
          <w:sz w:val="28"/>
          <w:szCs w:val="28"/>
        </w:rPr>
        <w:t xml:space="preserve">BROWN versus BOARD OF </w:t>
      </w:r>
      <w:proofErr w:type="gramStart"/>
      <w:r>
        <w:rPr>
          <w:rFonts w:ascii="Arial" w:hAnsi="Arial" w:cs="Arial"/>
          <w:b/>
          <w:sz w:val="28"/>
          <w:szCs w:val="28"/>
        </w:rPr>
        <w:t>EDUCATION  I</w:t>
      </w:r>
      <w:proofErr w:type="gramEnd"/>
      <w:r>
        <w:rPr>
          <w:rFonts w:ascii="Arial" w:hAnsi="Arial" w:cs="Arial"/>
          <w:b/>
          <w:sz w:val="28"/>
          <w:szCs w:val="28"/>
        </w:rPr>
        <w:t xml:space="preserve">  -  (1954)</w:t>
      </w:r>
    </w:p>
    <w:p w:rsidR="00414A3E" w:rsidRDefault="00414A3E" w:rsidP="00414A3E">
      <w:pPr>
        <w:jc w:val="center"/>
        <w:rPr>
          <w:rFonts w:ascii="Arial" w:hAnsi="Arial" w:cs="Arial"/>
          <w:b/>
          <w:sz w:val="28"/>
          <w:szCs w:val="28"/>
        </w:rPr>
      </w:pPr>
      <w:r>
        <w:rPr>
          <w:rFonts w:ascii="Arial" w:hAnsi="Arial" w:cs="Arial"/>
          <w:b/>
          <w:sz w:val="28"/>
          <w:szCs w:val="28"/>
        </w:rPr>
        <w:t>(De Jure Segregation / Equal Protection Clause &amp; 14</w:t>
      </w:r>
      <w:r w:rsidRPr="00414A3E">
        <w:rPr>
          <w:rFonts w:ascii="Arial" w:hAnsi="Arial" w:cs="Arial"/>
          <w:b/>
          <w:sz w:val="28"/>
          <w:szCs w:val="28"/>
          <w:vertAlign w:val="superscript"/>
        </w:rPr>
        <w:t>th</w:t>
      </w:r>
      <w:r>
        <w:rPr>
          <w:rFonts w:ascii="Arial" w:hAnsi="Arial" w:cs="Arial"/>
          <w:b/>
          <w:sz w:val="28"/>
          <w:szCs w:val="28"/>
        </w:rPr>
        <w:t xml:space="preserve"> Amendment)</w:t>
      </w:r>
    </w:p>
    <w:p w:rsidR="00414A3E" w:rsidRDefault="00414A3E" w:rsidP="00414A3E">
      <w:pPr>
        <w:jc w:val="center"/>
        <w:rPr>
          <w:rFonts w:ascii="Arial" w:hAnsi="Arial" w:cs="Arial"/>
          <w:b/>
          <w:sz w:val="28"/>
          <w:szCs w:val="28"/>
        </w:rPr>
      </w:pPr>
    </w:p>
    <w:p w:rsidR="00414A3E" w:rsidRDefault="00414A3E" w:rsidP="00414A3E">
      <w:pPr>
        <w:rPr>
          <w:rFonts w:ascii="Arial" w:hAnsi="Arial" w:cs="Arial"/>
        </w:rPr>
      </w:pPr>
      <w:r>
        <w:rPr>
          <w:rFonts w:ascii="Arial" w:hAnsi="Arial" w:cs="Arial"/>
          <w:b/>
        </w:rPr>
        <w:t>Background:</w:t>
      </w:r>
    </w:p>
    <w:p w:rsidR="00414A3E" w:rsidRDefault="00414A3E" w:rsidP="00414A3E">
      <w:pPr>
        <w:rPr>
          <w:rFonts w:ascii="Arial" w:hAnsi="Arial" w:cs="Arial"/>
        </w:rPr>
      </w:pPr>
    </w:p>
    <w:p w:rsidR="00414A3E" w:rsidRPr="00414A3E" w:rsidRDefault="00414A3E" w:rsidP="00414A3E">
      <w:pPr>
        <w:pStyle w:val="NormalWeb"/>
        <w:spacing w:before="120" w:beforeAutospacing="0" w:after="120" w:afterAutospacing="0"/>
        <w:rPr>
          <w:rFonts w:ascii="Arial" w:hAnsi="Arial" w:cs="Arial"/>
          <w:sz w:val="24"/>
          <w:szCs w:val="24"/>
        </w:rPr>
      </w:pPr>
      <w:r w:rsidRPr="00414A3E">
        <w:rPr>
          <w:rFonts w:ascii="Arial" w:hAnsi="Arial" w:cs="Arial"/>
          <w:sz w:val="24"/>
          <w:szCs w:val="24"/>
        </w:rPr>
        <w:t>For much of the sixty years preceding the</w:t>
      </w:r>
      <w:r w:rsidRPr="00414A3E">
        <w:rPr>
          <w:rStyle w:val="apple-converted-space"/>
          <w:rFonts w:ascii="Arial" w:hAnsi="Arial" w:cs="Arial"/>
          <w:sz w:val="24"/>
          <w:szCs w:val="24"/>
        </w:rPr>
        <w:t> </w:t>
      </w:r>
      <w:r w:rsidRPr="00414A3E">
        <w:rPr>
          <w:rFonts w:ascii="Arial" w:hAnsi="Arial" w:cs="Arial"/>
          <w:i/>
          <w:iCs/>
          <w:sz w:val="24"/>
          <w:szCs w:val="24"/>
        </w:rPr>
        <w:t>Brown</w:t>
      </w:r>
      <w:r w:rsidRPr="00414A3E">
        <w:rPr>
          <w:rStyle w:val="apple-converted-space"/>
          <w:rFonts w:ascii="Arial" w:hAnsi="Arial" w:cs="Arial"/>
          <w:sz w:val="24"/>
          <w:szCs w:val="24"/>
        </w:rPr>
        <w:t> </w:t>
      </w:r>
      <w:r w:rsidRPr="00414A3E">
        <w:rPr>
          <w:rFonts w:ascii="Arial" w:hAnsi="Arial" w:cs="Arial"/>
          <w:sz w:val="24"/>
          <w:szCs w:val="24"/>
        </w:rPr>
        <w:t>case,</w:t>
      </w:r>
      <w:r w:rsidRPr="00414A3E">
        <w:rPr>
          <w:rStyle w:val="apple-converted-space"/>
          <w:rFonts w:ascii="Arial" w:hAnsi="Arial" w:cs="Arial"/>
          <w:sz w:val="24"/>
          <w:szCs w:val="24"/>
        </w:rPr>
        <w:t> </w:t>
      </w:r>
      <w:hyperlink r:id="rId6" w:tooltip="Race relations" w:history="1">
        <w:r w:rsidRPr="00414A3E">
          <w:rPr>
            <w:rStyle w:val="Hyperlink"/>
            <w:rFonts w:ascii="Arial" w:hAnsi="Arial" w:cs="Arial"/>
            <w:color w:val="auto"/>
            <w:sz w:val="24"/>
            <w:szCs w:val="24"/>
            <w:u w:val="none"/>
          </w:rPr>
          <w:t>race relations</w:t>
        </w:r>
      </w:hyperlink>
      <w:r w:rsidRPr="00414A3E">
        <w:rPr>
          <w:rStyle w:val="apple-converted-space"/>
          <w:rFonts w:ascii="Arial" w:hAnsi="Arial" w:cs="Arial"/>
          <w:sz w:val="24"/>
          <w:szCs w:val="24"/>
        </w:rPr>
        <w:t> </w:t>
      </w:r>
      <w:r w:rsidRPr="00414A3E">
        <w:rPr>
          <w:rFonts w:ascii="Arial" w:hAnsi="Arial" w:cs="Arial"/>
          <w:sz w:val="24"/>
          <w:szCs w:val="24"/>
        </w:rPr>
        <w:t>in the United States had been dominated by</w:t>
      </w:r>
      <w:r w:rsidRPr="00414A3E">
        <w:rPr>
          <w:rStyle w:val="apple-converted-space"/>
          <w:rFonts w:ascii="Arial" w:hAnsi="Arial" w:cs="Arial"/>
          <w:sz w:val="24"/>
          <w:szCs w:val="24"/>
        </w:rPr>
        <w:t> </w:t>
      </w:r>
      <w:hyperlink r:id="rId7" w:tooltip="Racial segregation in the United States" w:history="1">
        <w:r w:rsidRPr="00414A3E">
          <w:rPr>
            <w:rStyle w:val="Hyperlink"/>
            <w:rFonts w:ascii="Arial" w:hAnsi="Arial" w:cs="Arial"/>
            <w:color w:val="auto"/>
            <w:sz w:val="24"/>
            <w:szCs w:val="24"/>
            <w:u w:val="none"/>
          </w:rPr>
          <w:t>racial segregation</w:t>
        </w:r>
      </w:hyperlink>
      <w:r w:rsidRPr="00414A3E">
        <w:rPr>
          <w:rFonts w:ascii="Arial" w:hAnsi="Arial" w:cs="Arial"/>
          <w:sz w:val="24"/>
          <w:szCs w:val="24"/>
        </w:rPr>
        <w:t>. This policy had been endorsed in</w:t>
      </w:r>
      <w:r w:rsidRPr="00414A3E">
        <w:rPr>
          <w:rStyle w:val="apple-converted-space"/>
          <w:rFonts w:ascii="Arial" w:hAnsi="Arial" w:cs="Arial"/>
          <w:sz w:val="24"/>
          <w:szCs w:val="24"/>
        </w:rPr>
        <w:t> </w:t>
      </w:r>
      <w:hyperlink r:id="rId8" w:tooltip="Nadir of American race relations" w:history="1">
        <w:r w:rsidRPr="00414A3E">
          <w:rPr>
            <w:rStyle w:val="Hyperlink"/>
            <w:rFonts w:ascii="Arial" w:hAnsi="Arial" w:cs="Arial"/>
            <w:color w:val="auto"/>
            <w:sz w:val="24"/>
            <w:szCs w:val="24"/>
            <w:u w:val="none"/>
          </w:rPr>
          <w:t>1896</w:t>
        </w:r>
      </w:hyperlink>
      <w:r w:rsidRPr="00414A3E">
        <w:rPr>
          <w:rStyle w:val="apple-converted-space"/>
          <w:rFonts w:ascii="Arial" w:hAnsi="Arial" w:cs="Arial"/>
          <w:sz w:val="24"/>
          <w:szCs w:val="24"/>
        </w:rPr>
        <w:t> </w:t>
      </w:r>
      <w:r w:rsidRPr="00414A3E">
        <w:rPr>
          <w:rFonts w:ascii="Arial" w:hAnsi="Arial" w:cs="Arial"/>
          <w:sz w:val="24"/>
          <w:szCs w:val="24"/>
        </w:rPr>
        <w:t>by the</w:t>
      </w:r>
      <w:r w:rsidRPr="00414A3E">
        <w:rPr>
          <w:rStyle w:val="apple-converted-space"/>
          <w:rFonts w:ascii="Arial" w:hAnsi="Arial" w:cs="Arial"/>
          <w:sz w:val="24"/>
          <w:szCs w:val="24"/>
        </w:rPr>
        <w:t> </w:t>
      </w:r>
      <w:hyperlink r:id="rId9" w:tooltip="Supreme Court of the United States" w:history="1">
        <w:r w:rsidRPr="00414A3E">
          <w:rPr>
            <w:rStyle w:val="Hyperlink"/>
            <w:rFonts w:ascii="Arial" w:hAnsi="Arial" w:cs="Arial"/>
            <w:color w:val="auto"/>
            <w:sz w:val="24"/>
            <w:szCs w:val="24"/>
            <w:u w:val="none"/>
          </w:rPr>
          <w:t>United States Supreme Court</w:t>
        </w:r>
      </w:hyperlink>
      <w:r w:rsidRPr="00414A3E">
        <w:rPr>
          <w:rStyle w:val="apple-converted-space"/>
          <w:rFonts w:ascii="Arial" w:hAnsi="Arial" w:cs="Arial"/>
          <w:sz w:val="24"/>
          <w:szCs w:val="24"/>
        </w:rPr>
        <w:t> </w:t>
      </w:r>
      <w:r w:rsidRPr="00414A3E">
        <w:rPr>
          <w:rFonts w:ascii="Arial" w:hAnsi="Arial" w:cs="Arial"/>
          <w:sz w:val="24"/>
          <w:szCs w:val="24"/>
        </w:rPr>
        <w:t>case of</w:t>
      </w:r>
      <w:r w:rsidRPr="00414A3E">
        <w:rPr>
          <w:rStyle w:val="apple-converted-space"/>
          <w:rFonts w:ascii="Arial" w:hAnsi="Arial" w:cs="Arial"/>
          <w:sz w:val="24"/>
          <w:szCs w:val="24"/>
        </w:rPr>
        <w:t> </w:t>
      </w:r>
      <w:hyperlink r:id="rId10" w:tooltip="Plessy v. Ferguson" w:history="1">
        <w:proofErr w:type="spellStart"/>
        <w:r w:rsidRPr="00414A3E">
          <w:rPr>
            <w:rStyle w:val="Hyperlink"/>
            <w:rFonts w:ascii="Arial" w:hAnsi="Arial" w:cs="Arial"/>
            <w:i/>
            <w:iCs/>
            <w:color w:val="auto"/>
            <w:sz w:val="24"/>
            <w:szCs w:val="24"/>
            <w:u w:val="none"/>
          </w:rPr>
          <w:t>Plessy</w:t>
        </w:r>
        <w:proofErr w:type="spellEnd"/>
        <w:r w:rsidRPr="00414A3E">
          <w:rPr>
            <w:rStyle w:val="Hyperlink"/>
            <w:rFonts w:ascii="Arial" w:hAnsi="Arial" w:cs="Arial"/>
            <w:i/>
            <w:iCs/>
            <w:color w:val="auto"/>
            <w:sz w:val="24"/>
            <w:szCs w:val="24"/>
            <w:u w:val="none"/>
          </w:rPr>
          <w:t xml:space="preserve"> v. Ferguson</w:t>
        </w:r>
      </w:hyperlink>
      <w:r w:rsidRPr="00414A3E">
        <w:rPr>
          <w:rFonts w:ascii="Arial" w:hAnsi="Arial" w:cs="Arial"/>
          <w:sz w:val="24"/>
          <w:szCs w:val="24"/>
        </w:rPr>
        <w:t>, which held that as long as the separate facilities for the separate races were equal, segregation did not violate the</w:t>
      </w:r>
      <w:r w:rsidRPr="00414A3E">
        <w:rPr>
          <w:rStyle w:val="apple-converted-space"/>
          <w:rFonts w:ascii="Arial" w:hAnsi="Arial" w:cs="Arial"/>
          <w:sz w:val="24"/>
          <w:szCs w:val="24"/>
        </w:rPr>
        <w:t> </w:t>
      </w:r>
      <w:hyperlink r:id="rId11" w:tooltip="Fourteenth Amendment to the United States Constitution" w:history="1">
        <w:r w:rsidRPr="00414A3E">
          <w:rPr>
            <w:rStyle w:val="Hyperlink"/>
            <w:rFonts w:ascii="Arial" w:hAnsi="Arial" w:cs="Arial"/>
            <w:color w:val="auto"/>
            <w:sz w:val="24"/>
            <w:szCs w:val="24"/>
            <w:u w:val="none"/>
          </w:rPr>
          <w:t>Fourteenth Amendment</w:t>
        </w:r>
      </w:hyperlink>
      <w:r w:rsidRPr="00414A3E">
        <w:rPr>
          <w:rStyle w:val="apple-converted-space"/>
          <w:rFonts w:ascii="Arial" w:hAnsi="Arial" w:cs="Arial"/>
          <w:sz w:val="24"/>
          <w:szCs w:val="24"/>
        </w:rPr>
        <w:t> </w:t>
      </w:r>
      <w:r w:rsidRPr="00414A3E">
        <w:rPr>
          <w:rFonts w:ascii="Arial" w:hAnsi="Arial" w:cs="Arial"/>
          <w:sz w:val="24"/>
          <w:szCs w:val="24"/>
        </w:rPr>
        <w:t>("no State shall ... deny to any person ... the equal protection of the laws").</w:t>
      </w:r>
    </w:p>
    <w:p w:rsidR="00414A3E" w:rsidRDefault="00414A3E" w:rsidP="00414A3E">
      <w:pPr>
        <w:pStyle w:val="NormalWeb"/>
        <w:spacing w:before="120" w:beforeAutospacing="0" w:after="120" w:afterAutospacing="0"/>
        <w:rPr>
          <w:rFonts w:ascii="Arial" w:hAnsi="Arial" w:cs="Arial"/>
          <w:sz w:val="24"/>
          <w:szCs w:val="24"/>
        </w:rPr>
      </w:pPr>
      <w:r w:rsidRPr="00414A3E">
        <w:rPr>
          <w:rFonts w:ascii="Arial" w:hAnsi="Arial" w:cs="Arial"/>
          <w:sz w:val="24"/>
          <w:szCs w:val="24"/>
        </w:rPr>
        <w:t>The</w:t>
      </w:r>
      <w:r w:rsidRPr="00414A3E">
        <w:rPr>
          <w:rStyle w:val="apple-converted-space"/>
          <w:rFonts w:ascii="Arial" w:hAnsi="Arial" w:cs="Arial"/>
          <w:sz w:val="24"/>
          <w:szCs w:val="24"/>
        </w:rPr>
        <w:t> </w:t>
      </w:r>
      <w:hyperlink r:id="rId12" w:tooltip="Plaintiffs" w:history="1">
        <w:r w:rsidRPr="00414A3E">
          <w:rPr>
            <w:rStyle w:val="Hyperlink"/>
            <w:rFonts w:ascii="Arial" w:hAnsi="Arial" w:cs="Arial"/>
            <w:color w:val="auto"/>
            <w:sz w:val="24"/>
            <w:szCs w:val="24"/>
            <w:u w:val="none"/>
          </w:rPr>
          <w:t>plaintiffs</w:t>
        </w:r>
      </w:hyperlink>
      <w:r w:rsidRPr="00414A3E">
        <w:rPr>
          <w:rStyle w:val="apple-converted-space"/>
          <w:rFonts w:ascii="Arial" w:hAnsi="Arial" w:cs="Arial"/>
          <w:sz w:val="24"/>
          <w:szCs w:val="24"/>
        </w:rPr>
        <w:t> </w:t>
      </w:r>
      <w:r w:rsidRPr="00414A3E">
        <w:rPr>
          <w:rFonts w:ascii="Arial" w:hAnsi="Arial" w:cs="Arial"/>
          <w:sz w:val="24"/>
          <w:szCs w:val="24"/>
        </w:rPr>
        <w:t>in</w:t>
      </w:r>
      <w:r w:rsidRPr="00414A3E">
        <w:rPr>
          <w:rStyle w:val="apple-converted-space"/>
          <w:rFonts w:ascii="Arial" w:hAnsi="Arial" w:cs="Arial"/>
          <w:sz w:val="24"/>
          <w:szCs w:val="24"/>
        </w:rPr>
        <w:t> </w:t>
      </w:r>
      <w:r w:rsidRPr="00414A3E">
        <w:rPr>
          <w:rFonts w:ascii="Arial" w:hAnsi="Arial" w:cs="Arial"/>
          <w:i/>
          <w:iCs/>
          <w:sz w:val="24"/>
          <w:szCs w:val="24"/>
        </w:rPr>
        <w:t>Brown</w:t>
      </w:r>
      <w:r w:rsidRPr="00414A3E">
        <w:rPr>
          <w:rStyle w:val="apple-converted-space"/>
          <w:rFonts w:ascii="Arial" w:hAnsi="Arial" w:cs="Arial"/>
          <w:sz w:val="24"/>
          <w:szCs w:val="24"/>
        </w:rPr>
        <w:t> </w:t>
      </w:r>
      <w:r w:rsidRPr="00414A3E">
        <w:rPr>
          <w:rFonts w:ascii="Arial" w:hAnsi="Arial" w:cs="Arial"/>
          <w:sz w:val="24"/>
          <w:szCs w:val="24"/>
        </w:rPr>
        <w:t>asserted that this system of</w:t>
      </w:r>
      <w:r w:rsidRPr="00414A3E">
        <w:rPr>
          <w:rStyle w:val="apple-converted-space"/>
          <w:rFonts w:ascii="Arial" w:hAnsi="Arial" w:cs="Arial"/>
          <w:sz w:val="24"/>
          <w:szCs w:val="24"/>
        </w:rPr>
        <w:t> </w:t>
      </w:r>
      <w:hyperlink r:id="rId13" w:tooltip="Racial segregation in the United States" w:history="1">
        <w:r w:rsidRPr="00414A3E">
          <w:rPr>
            <w:rStyle w:val="Hyperlink"/>
            <w:rFonts w:ascii="Arial" w:hAnsi="Arial" w:cs="Arial"/>
            <w:color w:val="auto"/>
            <w:sz w:val="24"/>
            <w:szCs w:val="24"/>
            <w:u w:val="none"/>
          </w:rPr>
          <w:t>racial separation</w:t>
        </w:r>
      </w:hyperlink>
      <w:r w:rsidRPr="00414A3E">
        <w:rPr>
          <w:rFonts w:ascii="Arial" w:hAnsi="Arial" w:cs="Arial"/>
          <w:sz w:val="24"/>
          <w:szCs w:val="24"/>
        </w:rPr>
        <w:t>, while masquerading as providing separate but equal treatment of both white and black Americans, instead perpetuated inferior accommodations, services, and treatment for black Americans. Racial segregation in education varied widely from the 17 states that required racial segregation to the 16 in which it was prohibited.</w:t>
      </w:r>
    </w:p>
    <w:p w:rsidR="00414A3E" w:rsidRDefault="00414A3E" w:rsidP="00414A3E">
      <w:pPr>
        <w:pStyle w:val="NormalWeb"/>
        <w:spacing w:before="120" w:beforeAutospacing="0" w:after="120" w:afterAutospacing="0"/>
        <w:rPr>
          <w:rFonts w:ascii="Arial" w:hAnsi="Arial" w:cs="Arial"/>
          <w:sz w:val="24"/>
          <w:szCs w:val="24"/>
        </w:rPr>
      </w:pPr>
    </w:p>
    <w:p w:rsidR="00414A3E" w:rsidRDefault="003E0E79" w:rsidP="00414A3E">
      <w:pPr>
        <w:pStyle w:val="NormalWeb"/>
        <w:spacing w:before="120" w:beforeAutospacing="0" w:after="120" w:afterAutospacing="0"/>
        <w:rPr>
          <w:rFonts w:ascii="Arial" w:hAnsi="Arial" w:cs="Arial"/>
          <w:b/>
          <w:sz w:val="24"/>
          <w:szCs w:val="24"/>
        </w:rPr>
      </w:pPr>
      <w:r>
        <w:rPr>
          <w:rFonts w:ascii="Arial" w:hAnsi="Arial" w:cs="Arial"/>
          <w:b/>
          <w:sz w:val="24"/>
          <w:szCs w:val="24"/>
        </w:rPr>
        <w:t>Historical Footnotes For Students To Understand The Importance of this Case:</w:t>
      </w:r>
    </w:p>
    <w:p w:rsidR="003E0E79" w:rsidRPr="003E0E79" w:rsidRDefault="003E0E79" w:rsidP="003E0E79">
      <w:pPr>
        <w:pStyle w:val="NormalWeb"/>
        <w:numPr>
          <w:ilvl w:val="0"/>
          <w:numId w:val="1"/>
        </w:numPr>
        <w:spacing w:before="120" w:beforeAutospacing="0" w:after="120" w:afterAutospacing="0"/>
        <w:rPr>
          <w:rFonts w:ascii="Arial" w:hAnsi="Arial" w:cs="Arial"/>
          <w:b/>
          <w:sz w:val="24"/>
          <w:szCs w:val="24"/>
        </w:rPr>
      </w:pPr>
      <w:r>
        <w:rPr>
          <w:rFonts w:ascii="Arial" w:hAnsi="Arial" w:cs="Arial"/>
          <w:i/>
          <w:sz w:val="24"/>
          <w:szCs w:val="24"/>
        </w:rPr>
        <w:t>Note</w:t>
      </w:r>
      <w:proofErr w:type="gramStart"/>
      <w:r>
        <w:rPr>
          <w:rFonts w:ascii="Arial" w:hAnsi="Arial" w:cs="Arial"/>
          <w:i/>
          <w:sz w:val="24"/>
          <w:szCs w:val="24"/>
        </w:rPr>
        <w:t>,</w:t>
      </w:r>
      <w:proofErr w:type="gramEnd"/>
      <w:r>
        <w:rPr>
          <w:rFonts w:ascii="Arial" w:hAnsi="Arial" w:cs="Arial"/>
          <w:i/>
          <w:sz w:val="24"/>
          <w:szCs w:val="24"/>
        </w:rPr>
        <w:t xml:space="preserve"> this information is not needed for the AP Exam.</w:t>
      </w:r>
    </w:p>
    <w:p w:rsidR="003E0E79" w:rsidRPr="003E0E79" w:rsidRDefault="003E0E79" w:rsidP="003E0E79">
      <w:pPr>
        <w:pStyle w:val="NormalWeb"/>
        <w:spacing w:before="120" w:beforeAutospacing="0" w:after="120" w:afterAutospacing="0"/>
        <w:rPr>
          <w:rFonts w:ascii="Arial" w:hAnsi="Arial" w:cs="Arial"/>
          <w:i/>
          <w:sz w:val="24"/>
          <w:szCs w:val="24"/>
        </w:rPr>
      </w:pPr>
      <w:r w:rsidRPr="003E0E79">
        <w:rPr>
          <w:rFonts w:ascii="Arial" w:hAnsi="Arial" w:cs="Arial"/>
          <w:i/>
          <w:sz w:val="24"/>
          <w:szCs w:val="24"/>
        </w:rPr>
        <w:t>In spring 1953, the Court heard the case but was unable to decide the issue and asked to rehear the case in fall 1953, with special attention to whether the Fourteenth Amendment's Equal Protection Clause prohibited the operation of separate public schools for whites and blacks.</w:t>
      </w:r>
    </w:p>
    <w:p w:rsidR="003E0E79" w:rsidRDefault="003E0E79" w:rsidP="003E0E79">
      <w:pPr>
        <w:pStyle w:val="NormalWeb"/>
        <w:spacing w:before="120" w:beforeAutospacing="0" w:after="120" w:afterAutospacing="0"/>
        <w:rPr>
          <w:rFonts w:ascii="Arial" w:hAnsi="Arial" w:cs="Arial"/>
          <w:sz w:val="24"/>
          <w:szCs w:val="24"/>
        </w:rPr>
      </w:pPr>
      <w:r w:rsidRPr="003E0E79">
        <w:rPr>
          <w:rFonts w:ascii="Arial" w:hAnsi="Arial" w:cs="Arial"/>
          <w:i/>
          <w:sz w:val="24"/>
          <w:szCs w:val="24"/>
        </w:rPr>
        <w:t>The Court reargued the case at the behest of Associate Justice</w:t>
      </w:r>
      <w:r w:rsidRPr="003E0E79">
        <w:rPr>
          <w:rStyle w:val="apple-converted-space"/>
          <w:rFonts w:ascii="Arial" w:hAnsi="Arial" w:cs="Arial"/>
          <w:i/>
          <w:sz w:val="24"/>
          <w:szCs w:val="24"/>
        </w:rPr>
        <w:t> </w:t>
      </w:r>
      <w:hyperlink r:id="rId14" w:tooltip="Felix Frankfurter" w:history="1">
        <w:r w:rsidRPr="003E0E79">
          <w:rPr>
            <w:rStyle w:val="Hyperlink"/>
            <w:rFonts w:ascii="Arial" w:hAnsi="Arial" w:cs="Arial"/>
            <w:i/>
            <w:color w:val="auto"/>
            <w:sz w:val="24"/>
            <w:szCs w:val="24"/>
            <w:u w:val="none"/>
          </w:rPr>
          <w:t>Felix Frankfurter</w:t>
        </w:r>
      </w:hyperlink>
      <w:r w:rsidRPr="003E0E79">
        <w:rPr>
          <w:rFonts w:ascii="Arial" w:hAnsi="Arial" w:cs="Arial"/>
          <w:i/>
          <w:sz w:val="24"/>
          <w:szCs w:val="24"/>
        </w:rPr>
        <w:t>, who used re</w:t>
      </w:r>
      <w:r>
        <w:rPr>
          <w:rFonts w:ascii="Arial" w:hAnsi="Arial" w:cs="Arial"/>
          <w:i/>
          <w:sz w:val="24"/>
          <w:szCs w:val="24"/>
        </w:rPr>
        <w:t>-</w:t>
      </w:r>
      <w:r w:rsidRPr="003E0E79">
        <w:rPr>
          <w:rFonts w:ascii="Arial" w:hAnsi="Arial" w:cs="Arial"/>
          <w:i/>
          <w:sz w:val="24"/>
          <w:szCs w:val="24"/>
        </w:rPr>
        <w:t>argument as a stalling tactic, to allow the Court to gather a consensus around a</w:t>
      </w:r>
      <w:r w:rsidRPr="003E0E79">
        <w:rPr>
          <w:rStyle w:val="apple-converted-space"/>
          <w:rFonts w:ascii="Arial" w:hAnsi="Arial" w:cs="Arial"/>
          <w:i/>
          <w:sz w:val="24"/>
          <w:szCs w:val="24"/>
        </w:rPr>
        <w:t> </w:t>
      </w:r>
      <w:r w:rsidRPr="003E0E79">
        <w:rPr>
          <w:rFonts w:ascii="Arial" w:hAnsi="Arial" w:cs="Arial"/>
          <w:i/>
          <w:iCs/>
          <w:sz w:val="24"/>
          <w:szCs w:val="24"/>
        </w:rPr>
        <w:t>Brown</w:t>
      </w:r>
      <w:r w:rsidRPr="003E0E79">
        <w:rPr>
          <w:rStyle w:val="apple-converted-space"/>
          <w:rFonts w:ascii="Arial" w:hAnsi="Arial" w:cs="Arial"/>
          <w:i/>
          <w:sz w:val="24"/>
          <w:szCs w:val="24"/>
        </w:rPr>
        <w:t> </w:t>
      </w:r>
      <w:r w:rsidRPr="003E0E79">
        <w:rPr>
          <w:rFonts w:ascii="Arial" w:hAnsi="Arial" w:cs="Arial"/>
          <w:i/>
          <w:sz w:val="24"/>
          <w:szCs w:val="24"/>
        </w:rPr>
        <w:t xml:space="preserve">opinion that would outlaw segregation. The justices in support of desegregation spent much effort convincing those who initially intended to dissent to join a unanimous opinion. Although the legal effect would be same for a majority rather than unanimous decision, it was felt that </w:t>
      </w:r>
      <w:proofErr w:type="gramStart"/>
      <w:r w:rsidRPr="003E0E79">
        <w:rPr>
          <w:rFonts w:ascii="Arial" w:hAnsi="Arial" w:cs="Arial"/>
          <w:i/>
          <w:sz w:val="24"/>
          <w:szCs w:val="24"/>
        </w:rPr>
        <w:t>dissent could be used by segregation supporters</w:t>
      </w:r>
      <w:proofErr w:type="gramEnd"/>
      <w:r w:rsidRPr="003E0E79">
        <w:rPr>
          <w:rFonts w:ascii="Arial" w:hAnsi="Arial" w:cs="Arial"/>
          <w:i/>
          <w:sz w:val="24"/>
          <w:szCs w:val="24"/>
        </w:rPr>
        <w:t xml:space="preserve"> as a legitimizing counter-argument.</w:t>
      </w:r>
    </w:p>
    <w:p w:rsidR="003E0E79" w:rsidRDefault="003E0E79" w:rsidP="003E0E79">
      <w:pPr>
        <w:pStyle w:val="NormalWeb"/>
        <w:spacing w:before="120" w:beforeAutospacing="0" w:after="120" w:afterAutospacing="0"/>
        <w:rPr>
          <w:rFonts w:ascii="Arial" w:hAnsi="Arial" w:cs="Arial"/>
          <w:sz w:val="24"/>
          <w:szCs w:val="24"/>
        </w:rPr>
      </w:pPr>
    </w:p>
    <w:p w:rsidR="003E0E79" w:rsidRDefault="003E0E79" w:rsidP="003E0E79">
      <w:pPr>
        <w:pStyle w:val="NormalWeb"/>
        <w:spacing w:before="120" w:beforeAutospacing="0" w:after="120" w:afterAutospacing="0"/>
        <w:rPr>
          <w:rFonts w:ascii="Arial" w:hAnsi="Arial" w:cs="Arial"/>
          <w:b/>
          <w:sz w:val="24"/>
          <w:szCs w:val="24"/>
        </w:rPr>
      </w:pPr>
      <w:r>
        <w:rPr>
          <w:rFonts w:ascii="Arial" w:hAnsi="Arial" w:cs="Arial"/>
          <w:b/>
          <w:sz w:val="24"/>
          <w:szCs w:val="24"/>
        </w:rPr>
        <w:t>Majority Opinion (Unanimous):</w:t>
      </w:r>
    </w:p>
    <w:p w:rsidR="003E0E79" w:rsidRPr="003E0E79" w:rsidRDefault="003E0E79" w:rsidP="003E0E79">
      <w:pPr>
        <w:spacing w:before="120" w:after="120"/>
        <w:rPr>
          <w:rFonts w:ascii="Arial" w:hAnsi="Arial" w:cs="Arial"/>
        </w:rPr>
      </w:pPr>
      <w:r w:rsidRPr="003E0E79">
        <w:rPr>
          <w:rFonts w:ascii="Arial" w:hAnsi="Arial" w:cs="Arial"/>
        </w:rPr>
        <w:t>The key holding of the Court was that, even if segregated black and white schools were of equal quality in facilities and teachers, segregation by itself was harmful to black students and unconstitutional. They found that a significant psychological and social disadvantage was given to black children from the nature of segregation itself, drawing on research conducted by </w:t>
      </w:r>
      <w:hyperlink r:id="rId15" w:tooltip="Kenneth and Mamie Clark" w:history="1">
        <w:r w:rsidRPr="003E0E79">
          <w:rPr>
            <w:rFonts w:ascii="Arial" w:hAnsi="Arial" w:cs="Arial"/>
          </w:rPr>
          <w:t>Kenneth Clark</w:t>
        </w:r>
      </w:hyperlink>
      <w:r w:rsidRPr="003E0E79">
        <w:rPr>
          <w:rFonts w:ascii="Arial" w:hAnsi="Arial" w:cs="Arial"/>
        </w:rPr>
        <w:t> assisted by </w:t>
      </w:r>
      <w:hyperlink r:id="rId16" w:tooltip="June Shagaloff Alexander" w:history="1">
        <w:r w:rsidRPr="003E0E79">
          <w:rPr>
            <w:rFonts w:ascii="Arial" w:hAnsi="Arial" w:cs="Arial"/>
          </w:rPr>
          <w:t xml:space="preserve">June </w:t>
        </w:r>
        <w:proofErr w:type="spellStart"/>
        <w:r w:rsidRPr="003E0E79">
          <w:rPr>
            <w:rFonts w:ascii="Arial" w:hAnsi="Arial" w:cs="Arial"/>
          </w:rPr>
          <w:t>Shagaloff</w:t>
        </w:r>
        <w:proofErr w:type="spellEnd"/>
      </w:hyperlink>
      <w:r w:rsidRPr="003E0E79">
        <w:rPr>
          <w:rFonts w:ascii="Arial" w:hAnsi="Arial" w:cs="Arial"/>
        </w:rPr>
        <w:t>. This aspect was vital because the question was not whether the schools were "equal", which under </w:t>
      </w:r>
      <w:proofErr w:type="spellStart"/>
      <w:r w:rsidRPr="003E0E79">
        <w:rPr>
          <w:rFonts w:ascii="Arial" w:hAnsi="Arial" w:cs="Arial"/>
          <w:i/>
          <w:iCs/>
        </w:rPr>
        <w:t>Plessy</w:t>
      </w:r>
      <w:proofErr w:type="spellEnd"/>
      <w:r w:rsidRPr="003E0E79">
        <w:rPr>
          <w:rFonts w:ascii="Arial" w:hAnsi="Arial" w:cs="Arial"/>
        </w:rPr>
        <w:t> they nominally should have been, but whether the doctrine of </w:t>
      </w:r>
      <w:r w:rsidRPr="003E0E79">
        <w:rPr>
          <w:rFonts w:ascii="Arial" w:hAnsi="Arial" w:cs="Arial"/>
          <w:i/>
          <w:iCs/>
        </w:rPr>
        <w:t>separate</w:t>
      </w:r>
      <w:r w:rsidRPr="003E0E79">
        <w:rPr>
          <w:rFonts w:ascii="Arial" w:hAnsi="Arial" w:cs="Arial"/>
        </w:rPr>
        <w:t> was constitutional. The justices answered with a strong "no":</w:t>
      </w:r>
    </w:p>
    <w:p w:rsidR="003E0E79" w:rsidRPr="003E0E79" w:rsidRDefault="003E0E79" w:rsidP="003E0E79">
      <w:pPr>
        <w:spacing w:after="120"/>
        <w:rPr>
          <w:rFonts w:ascii="Arial" w:hAnsi="Arial" w:cs="Arial"/>
        </w:rPr>
      </w:pPr>
      <w:r>
        <w:rPr>
          <w:rFonts w:ascii="Arial" w:hAnsi="Arial" w:cs="Arial"/>
        </w:rPr>
        <w:lastRenderedPageBreak/>
        <w:t>D</w:t>
      </w:r>
      <w:r w:rsidRPr="003E0E79">
        <w:rPr>
          <w:rFonts w:ascii="Arial" w:hAnsi="Arial" w:cs="Arial"/>
        </w:rPr>
        <w:t>oes segregation of children in public schools solely on the basis of race, even though the physical facilities and other "tangible" factors may be equal, deprive the children of the minority group of equal educational opportunities? We believe that it does. ...</w:t>
      </w:r>
    </w:p>
    <w:p w:rsidR="003E0E79" w:rsidRPr="003E0E79" w:rsidRDefault="003E0E79" w:rsidP="003E0E79">
      <w:pPr>
        <w:spacing w:before="120" w:after="120"/>
        <w:rPr>
          <w:rFonts w:ascii="Arial" w:hAnsi="Arial" w:cs="Arial"/>
        </w:rPr>
      </w:pPr>
      <w:r w:rsidRPr="003E0E79">
        <w:rPr>
          <w:rFonts w:ascii="Arial" w:hAnsi="Arial" w:cs="Arial"/>
        </w:rPr>
        <w:t xml:space="preserve">"Segregation of white and colored children in public schools has a detrimental effect upon the colored children. The effect is greater when it has the sanction of the law, for the policy of separating the races is usually interpreted as denoting the inferiority of the </w:t>
      </w:r>
      <w:proofErr w:type="gramStart"/>
      <w:r w:rsidRPr="003E0E79">
        <w:rPr>
          <w:rFonts w:ascii="Arial" w:hAnsi="Arial" w:cs="Arial"/>
        </w:rPr>
        <w:t>negro</w:t>
      </w:r>
      <w:proofErr w:type="gramEnd"/>
      <w:r w:rsidRPr="003E0E79">
        <w:rPr>
          <w:rFonts w:ascii="Arial" w:hAnsi="Arial" w:cs="Arial"/>
        </w:rPr>
        <w:t xml:space="preserve"> group. A sense of inferiority affects the motivation of a child to learn. Segregation with the sanction of law, therefore, has a tendency to [retard] the educational and mental development of negro children and to deprive them of some of the benefits t</w:t>
      </w:r>
      <w:r>
        <w:rPr>
          <w:rFonts w:ascii="Arial" w:hAnsi="Arial" w:cs="Arial"/>
        </w:rPr>
        <w:t xml:space="preserve">hey would receive in a </w:t>
      </w:r>
      <w:proofErr w:type="gramStart"/>
      <w:r>
        <w:rPr>
          <w:rFonts w:ascii="Arial" w:hAnsi="Arial" w:cs="Arial"/>
        </w:rPr>
        <w:t>racial[</w:t>
      </w:r>
      <w:proofErr w:type="spellStart"/>
      <w:proofErr w:type="gramEnd"/>
      <w:r>
        <w:rPr>
          <w:rFonts w:ascii="Arial" w:hAnsi="Arial" w:cs="Arial"/>
        </w:rPr>
        <w:t>ly</w:t>
      </w:r>
      <w:proofErr w:type="spellEnd"/>
      <w:r w:rsidRPr="003E0E79">
        <w:rPr>
          <w:rFonts w:ascii="Arial" w:hAnsi="Arial" w:cs="Arial"/>
        </w:rPr>
        <w:t>] integrated school system." ...</w:t>
      </w:r>
    </w:p>
    <w:p w:rsidR="003E0E79" w:rsidRPr="0009234A" w:rsidRDefault="003E0E79" w:rsidP="003E0E79">
      <w:pPr>
        <w:rPr>
          <w:rFonts w:ascii="Arial" w:eastAsia="Times New Roman" w:hAnsi="Arial" w:cs="Arial"/>
          <w:b/>
        </w:rPr>
      </w:pPr>
      <w:r w:rsidRPr="003E0E79">
        <w:rPr>
          <w:rFonts w:ascii="Arial" w:eastAsia="Times New Roman" w:hAnsi="Arial" w:cs="Arial"/>
        </w:rPr>
        <w:t xml:space="preserve">We conclude that, in the field of public education, the doctrine of "separate but equal" has no place. Separate educational facilities are inherently unequal. Therefore, </w:t>
      </w:r>
      <w:r w:rsidRPr="0009234A">
        <w:rPr>
          <w:rFonts w:ascii="Arial" w:eastAsia="Times New Roman" w:hAnsi="Arial" w:cs="Arial"/>
          <w:b/>
        </w:rPr>
        <w:t>we hold that the plaintiffs and others similarly situated for whom the actions have been brought are, by reason of the segregation complained of, deprived of the equal protection of the laws guaranteed by the Fourteenth Amendment.</w:t>
      </w:r>
    </w:p>
    <w:p w:rsidR="003E0E79" w:rsidRPr="003E0E79" w:rsidRDefault="003E0E79" w:rsidP="003E0E79">
      <w:pPr>
        <w:pStyle w:val="NormalWeb"/>
        <w:spacing w:before="120" w:beforeAutospacing="0" w:after="120" w:afterAutospacing="0"/>
        <w:rPr>
          <w:rFonts w:ascii="Helvetica" w:hAnsi="Helvetica"/>
          <w:b/>
          <w:color w:val="222222"/>
          <w:sz w:val="21"/>
          <w:szCs w:val="21"/>
        </w:rPr>
      </w:pPr>
    </w:p>
    <w:p w:rsidR="003E0E79" w:rsidRPr="0009234A" w:rsidRDefault="003E0E79" w:rsidP="003E0E79">
      <w:pPr>
        <w:pStyle w:val="NormalWeb"/>
        <w:spacing w:before="120" w:beforeAutospacing="0" w:after="120" w:afterAutospacing="0"/>
        <w:rPr>
          <w:rFonts w:ascii="Arial" w:hAnsi="Arial" w:cs="Arial"/>
          <w:b/>
          <w:sz w:val="24"/>
          <w:szCs w:val="24"/>
        </w:rPr>
      </w:pPr>
      <w:r>
        <w:rPr>
          <w:rFonts w:ascii="Arial" w:hAnsi="Arial" w:cs="Arial"/>
          <w:i/>
          <w:sz w:val="24"/>
          <w:szCs w:val="24"/>
        </w:rPr>
        <w:t xml:space="preserve"> </w:t>
      </w:r>
      <w:bookmarkStart w:id="0" w:name="_GoBack"/>
      <w:bookmarkEnd w:id="0"/>
    </w:p>
    <w:p w:rsidR="00414A3E" w:rsidRPr="00414A3E" w:rsidRDefault="00414A3E" w:rsidP="00414A3E">
      <w:pPr>
        <w:rPr>
          <w:rFonts w:ascii="Arial" w:hAnsi="Arial" w:cs="Arial"/>
        </w:rPr>
      </w:pPr>
    </w:p>
    <w:sectPr w:rsidR="00414A3E" w:rsidRPr="00414A3E" w:rsidSect="0086074E">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F4A66"/>
    <w:multiLevelType w:val="hybridMultilevel"/>
    <w:tmpl w:val="B9B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3E"/>
    <w:rsid w:val="0009234A"/>
    <w:rsid w:val="003E0E79"/>
    <w:rsid w:val="00414A3E"/>
    <w:rsid w:val="0086074E"/>
    <w:rsid w:val="00A84F35"/>
    <w:rsid w:val="00AC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A3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A3E"/>
  </w:style>
  <w:style w:type="character" w:styleId="Hyperlink">
    <w:name w:val="Hyperlink"/>
    <w:basedOn w:val="DefaultParagraphFont"/>
    <w:uiPriority w:val="99"/>
    <w:semiHidden/>
    <w:unhideWhenUsed/>
    <w:rsid w:val="00414A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A3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A3E"/>
  </w:style>
  <w:style w:type="character" w:styleId="Hyperlink">
    <w:name w:val="Hyperlink"/>
    <w:basedOn w:val="DefaultParagraphFont"/>
    <w:uiPriority w:val="99"/>
    <w:semiHidden/>
    <w:unhideWhenUsed/>
    <w:rsid w:val="00414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36">
      <w:bodyDiv w:val="1"/>
      <w:marLeft w:val="0"/>
      <w:marRight w:val="0"/>
      <w:marTop w:val="0"/>
      <w:marBottom w:val="0"/>
      <w:divBdr>
        <w:top w:val="none" w:sz="0" w:space="0" w:color="auto"/>
        <w:left w:val="none" w:sz="0" w:space="0" w:color="auto"/>
        <w:bottom w:val="none" w:sz="0" w:space="0" w:color="auto"/>
        <w:right w:val="none" w:sz="0" w:space="0" w:color="auto"/>
      </w:divBdr>
    </w:div>
    <w:div w:id="714700282">
      <w:bodyDiv w:val="1"/>
      <w:marLeft w:val="0"/>
      <w:marRight w:val="0"/>
      <w:marTop w:val="0"/>
      <w:marBottom w:val="0"/>
      <w:divBdr>
        <w:top w:val="none" w:sz="0" w:space="0" w:color="auto"/>
        <w:left w:val="none" w:sz="0" w:space="0" w:color="auto"/>
        <w:bottom w:val="none" w:sz="0" w:space="0" w:color="auto"/>
        <w:right w:val="none" w:sz="0" w:space="0" w:color="auto"/>
      </w:divBdr>
    </w:div>
    <w:div w:id="716124792">
      <w:bodyDiv w:val="1"/>
      <w:marLeft w:val="0"/>
      <w:marRight w:val="0"/>
      <w:marTop w:val="0"/>
      <w:marBottom w:val="0"/>
      <w:divBdr>
        <w:top w:val="none" w:sz="0" w:space="0" w:color="auto"/>
        <w:left w:val="none" w:sz="0" w:space="0" w:color="auto"/>
        <w:bottom w:val="none" w:sz="0" w:space="0" w:color="auto"/>
        <w:right w:val="none" w:sz="0" w:space="0" w:color="auto"/>
      </w:divBdr>
      <w:divsChild>
        <w:div w:id="33203211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Fourteenth_Amendment_to_the_United_States_Constitution" TargetMode="External"/><Relationship Id="rId12" Type="http://schemas.openxmlformats.org/officeDocument/2006/relationships/hyperlink" Target="https://en.wikipedia.org/wiki/Plaintiffs" TargetMode="External"/><Relationship Id="rId13" Type="http://schemas.openxmlformats.org/officeDocument/2006/relationships/hyperlink" Target="https://en.wikipedia.org/wiki/Racial_segregation_in_the_United_States" TargetMode="External"/><Relationship Id="rId14" Type="http://schemas.openxmlformats.org/officeDocument/2006/relationships/hyperlink" Target="https://en.wikipedia.org/wiki/Felix_Frankfurter" TargetMode="External"/><Relationship Id="rId15" Type="http://schemas.openxmlformats.org/officeDocument/2006/relationships/hyperlink" Target="https://en.wikipedia.org/wiki/Kenneth_and_Mamie_Clark" TargetMode="External"/><Relationship Id="rId16" Type="http://schemas.openxmlformats.org/officeDocument/2006/relationships/hyperlink" Target="https://en.wikipedia.org/wiki/June_Shagaloff_Alexande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Race_relations" TargetMode="External"/><Relationship Id="rId7" Type="http://schemas.openxmlformats.org/officeDocument/2006/relationships/hyperlink" Target="https://en.wikipedia.org/wiki/Racial_segregation_in_the_United_States" TargetMode="External"/><Relationship Id="rId8" Type="http://schemas.openxmlformats.org/officeDocument/2006/relationships/hyperlink" Target="https://en.wikipedia.org/wiki/Nadir_of_American_race_relations" TargetMode="External"/><Relationship Id="rId9" Type="http://schemas.openxmlformats.org/officeDocument/2006/relationships/hyperlink" Target="https://en.wikipedia.org/wiki/Supreme_Court_of_the_United_States" TargetMode="External"/><Relationship Id="rId10" Type="http://schemas.openxmlformats.org/officeDocument/2006/relationships/hyperlink" Target="https://en.wikipedia.org/wiki/Plessy_v._Fergu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757</Words>
  <Characters>4317</Characters>
  <Application>Microsoft Macintosh Word</Application>
  <DocSecurity>0</DocSecurity>
  <Lines>35</Lines>
  <Paragraphs>10</Paragraphs>
  <ScaleCrop>false</ScaleCrop>
  <Company>SBBC</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2018-06-24T15:43:00Z</dcterms:created>
  <dcterms:modified xsi:type="dcterms:W3CDTF">2018-06-24T16:11:00Z</dcterms:modified>
</cp:coreProperties>
</file>