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9" w:rsidRPr="00B726EB" w:rsidRDefault="00E10979" w:rsidP="00E10979">
      <w:pPr>
        <w:pStyle w:val="Title2sl"/>
        <w:spacing w:before="240" w:after="120"/>
        <w:jc w:val="center"/>
        <w:rPr>
          <w:i/>
        </w:rPr>
      </w:pPr>
      <w:r>
        <w:rPr>
          <w:i/>
        </w:rPr>
        <w:t xml:space="preserve">Baker v. Carr </w:t>
      </w:r>
      <w:r w:rsidRPr="00E10979">
        <w:t>(1962)</w:t>
      </w:r>
    </w:p>
    <w:p w:rsidR="00E10979" w:rsidRPr="00E10979" w:rsidRDefault="00E10979" w:rsidP="00E10979">
      <w:pPr>
        <w:pStyle w:val="Basiccopysl"/>
        <w:spacing w:after="0"/>
        <w:jc w:val="center"/>
      </w:pPr>
      <w:r w:rsidRPr="00E10979">
        <w:rPr>
          <w:b/>
        </w:rPr>
        <w:t>Argued:</w:t>
      </w:r>
      <w:r w:rsidRPr="00E10979">
        <w:t xml:space="preserve"> April 19</w:t>
      </w:r>
      <w:r>
        <w:t>–</w:t>
      </w:r>
      <w:r w:rsidRPr="00E10979">
        <w:t>21, 1961</w:t>
      </w:r>
    </w:p>
    <w:p w:rsidR="00E10979" w:rsidRDefault="00E10979" w:rsidP="00E10979">
      <w:pPr>
        <w:pStyle w:val="Basiccopysl"/>
        <w:spacing w:after="0"/>
        <w:jc w:val="center"/>
      </w:pPr>
      <w:r w:rsidRPr="00E10979">
        <w:rPr>
          <w:b/>
        </w:rPr>
        <w:t>Re-argued:</w:t>
      </w:r>
      <w:r w:rsidRPr="00E10979">
        <w:t xml:space="preserve"> October 9, 1961</w:t>
      </w:r>
    </w:p>
    <w:p w:rsidR="00E10979" w:rsidRPr="00E10979" w:rsidRDefault="00E10979" w:rsidP="00E10979">
      <w:pPr>
        <w:pStyle w:val="Basiccopysl"/>
        <w:jc w:val="center"/>
      </w:pPr>
      <w:r w:rsidRPr="00E10979">
        <w:rPr>
          <w:b/>
        </w:rPr>
        <w:t>Decided:</w:t>
      </w:r>
      <w:r w:rsidRPr="00E10979">
        <w:t xml:space="preserve"> March 26, 1962</w:t>
      </w:r>
    </w:p>
    <w:p w:rsidR="00E10979" w:rsidRDefault="00E10979" w:rsidP="00E10979">
      <w:pPr>
        <w:pStyle w:val="Subhead2sl"/>
        <w:tabs>
          <w:tab w:val="left" w:pos="2114"/>
        </w:tabs>
      </w:pPr>
      <w:r>
        <w:t>Background</w:t>
      </w:r>
    </w:p>
    <w:p w:rsidR="00E10979" w:rsidRDefault="00E10979" w:rsidP="00E10979">
      <w:pPr>
        <w:pStyle w:val="Basiccopysl"/>
      </w:pPr>
      <w:r>
        <w:t xml:space="preserve">In the U.S.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w:t>
      </w:r>
      <w:r w:rsidR="00D42341">
        <w:t xml:space="preserve">many </w:t>
      </w:r>
      <w:r>
        <w:t xml:space="preserve">people moved from rural areas to cities. As a result, a significant number of legislative districts became uneven—for example, a rural district with 500 people and an urban district with 5,000 people each would have only one representative in the state legislature. Some voters filed lawsuits to address the inequities, but federal courts deferred to state laws and would not hear these cases. </w:t>
      </w:r>
    </w:p>
    <w:p w:rsidR="00E10979" w:rsidRDefault="00D42341" w:rsidP="00E10979">
      <w:pPr>
        <w:pStyle w:val="Basiccopysl"/>
      </w:pPr>
      <w:r>
        <w:t>F</w:t>
      </w:r>
      <w:r w:rsidR="00E10979">
        <w:t xml:space="preserve">ederal courts did not </w:t>
      </w:r>
      <w:r>
        <w:t>hear these cases because they were thought to be</w:t>
      </w:r>
      <w:r w:rsidR="00E10979">
        <w:t xml:space="preserv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rsidR="00E10979" w:rsidRDefault="00E10979" w:rsidP="00E10979">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rsidR="00E10979" w:rsidRDefault="00E10979" w:rsidP="00E10979">
      <w:pPr>
        <w:pStyle w:val="Subhead2sl"/>
      </w:pPr>
      <w:r w:rsidRPr="007270F1">
        <w:t>Facts</w:t>
      </w:r>
    </w:p>
    <w:p w:rsidR="00E10979" w:rsidRPr="00FF53C7" w:rsidRDefault="00E10979" w:rsidP="00E10979">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rsidR="00E10979" w:rsidRDefault="00E10979" w:rsidP="00E1097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rsidR="00E10979" w:rsidRDefault="00E10979" w:rsidP="00E10979">
      <w:pPr>
        <w:pStyle w:val="Basiccopysl"/>
      </w:pPr>
      <w:r>
        <w:t xml:space="preserve">An eligible voter who lived in an urban area of Shelby County (Memphis), Charles Baker, believed that he and similar residents of more heavily populated legislative districts were being denied “equal </w:t>
      </w:r>
      <w:r>
        <w:lastRenderedPageBreak/>
        <w:t xml:space="preserve">protection of the laws” under the 14th Amendment because their votes were “devalued.” He argued that his vote, and those of voters in similar situations, would not count the same as those of voters residing in less populated, rural areas. He sued the state officials responsible for supervising elections in the </w:t>
      </w:r>
      <w:r w:rsidRPr="00E10979">
        <w:t>U</w:t>
      </w:r>
      <w:r>
        <w:t>.</w:t>
      </w:r>
      <w:r w:rsidRPr="00E10979">
        <w:t>S</w:t>
      </w:r>
      <w:r>
        <w:t>.</w:t>
      </w:r>
      <w:r w:rsidRPr="00E10979">
        <w:t xml:space="preserve"> District Court for the Middle District of Tennessee</w:t>
      </w:r>
      <w:r>
        <w:t>.</w:t>
      </w:r>
    </w:p>
    <w:p w:rsidR="00E10979" w:rsidRPr="00FF53C7" w:rsidRDefault="00E10979" w:rsidP="00E10979">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rsidR="00E10979" w:rsidRPr="00B24D35" w:rsidRDefault="00E10979" w:rsidP="00E10979">
      <w:pPr>
        <w:pStyle w:val="Subhead2sl"/>
      </w:pPr>
      <w:r w:rsidRPr="007270F1">
        <w:t>Issue</w:t>
      </w:r>
    </w:p>
    <w:p w:rsidR="00E10979" w:rsidRPr="00E10979" w:rsidRDefault="00E10979" w:rsidP="00E10979">
      <w:pPr>
        <w:pStyle w:val="Basiccopysl"/>
      </w:pPr>
      <w:r w:rsidRPr="00E10979">
        <w:t>Do federal courts have the power to decide cases about the apportionment of population into state legislative districts?</w:t>
      </w:r>
    </w:p>
    <w:p w:rsidR="00E10979" w:rsidRPr="007270F1" w:rsidRDefault="00E10979" w:rsidP="00E10979">
      <w:pPr>
        <w:pStyle w:val="Subhead2sl"/>
      </w:pPr>
      <w:r>
        <w:t>Constitutional Articles and Amendments and Supreme Court Precedents</w:t>
      </w:r>
    </w:p>
    <w:p w:rsidR="00E10979" w:rsidRPr="007A59B9" w:rsidRDefault="00E10979" w:rsidP="00E10979">
      <w:pPr>
        <w:pStyle w:val="Bulletsl"/>
        <w:spacing w:before="240" w:line="276" w:lineRule="auto"/>
        <w:rPr>
          <w:b/>
        </w:rPr>
      </w:pPr>
      <w:r w:rsidRPr="00E10979">
        <w:rPr>
          <w:b/>
        </w:rPr>
        <w:t>Article III, section 2 of the U.S. Constitution</w:t>
      </w:r>
    </w:p>
    <w:p w:rsidR="00E10979" w:rsidRDefault="00E10979" w:rsidP="00E10979">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 . . .”</w:t>
      </w:r>
    </w:p>
    <w:p w:rsidR="00E10979" w:rsidRPr="00E10979" w:rsidRDefault="00E10979" w:rsidP="00E10979">
      <w:pPr>
        <w:pStyle w:val="Bulletsl"/>
        <w:spacing w:before="240" w:line="276" w:lineRule="auto"/>
        <w:rPr>
          <w:b/>
        </w:rPr>
      </w:pPr>
      <w:r w:rsidRPr="00E10979">
        <w:rPr>
          <w:b/>
        </w:rPr>
        <w:t>14th Amendment to the U.S. Constitution</w:t>
      </w:r>
    </w:p>
    <w:p w:rsidR="00E10979" w:rsidRDefault="00E10979" w:rsidP="00E10979">
      <w:pPr>
        <w:pStyle w:val="Bulletsl"/>
        <w:numPr>
          <w:ilvl w:val="0"/>
          <w:numId w:val="0"/>
        </w:numPr>
        <w:spacing w:line="276" w:lineRule="auto"/>
        <w:ind w:left="720"/>
      </w:pPr>
      <w:r>
        <w:t xml:space="preserve">No State shall…deny to any person within its jurisdiction the equal protection of the laws.” </w:t>
      </w:r>
    </w:p>
    <w:p w:rsidR="00E10979" w:rsidRPr="00E10979" w:rsidRDefault="00E10979" w:rsidP="00E10979">
      <w:pPr>
        <w:pStyle w:val="Bulletsl"/>
        <w:spacing w:before="240" w:line="276" w:lineRule="auto"/>
        <w:rPr>
          <w:b/>
        </w:rPr>
      </w:pPr>
      <w:proofErr w:type="spellStart"/>
      <w:r w:rsidRPr="00E10979">
        <w:rPr>
          <w:b/>
          <w:i/>
        </w:rPr>
        <w:t>Colegrove</w:t>
      </w:r>
      <w:proofErr w:type="spellEnd"/>
      <w:r w:rsidRPr="00E10979">
        <w:rPr>
          <w:b/>
          <w:i/>
        </w:rPr>
        <w:t xml:space="preserve"> v. Green</w:t>
      </w:r>
      <w:r w:rsidRPr="00E10979">
        <w:rPr>
          <w:b/>
        </w:rPr>
        <w:t xml:space="preserve"> (1946)</w:t>
      </w:r>
    </w:p>
    <w:p w:rsidR="00E10979" w:rsidRDefault="00E10979" w:rsidP="00E10979">
      <w:pPr>
        <w:pStyle w:val="Bulletsl"/>
        <w:numPr>
          <w:ilvl w:val="0"/>
          <w:numId w:val="0"/>
        </w:numPr>
        <w:spacing w:line="276" w:lineRule="auto"/>
        <w:ind w:left="720"/>
      </w:pPr>
      <w:r>
        <w:t>An Illinois resident sued Illinois officials to prevent them from holding an upcoming election. He argued that the boundaries for congressional districts drawn by the Illinois legislature were irregularly shaped and did not include the same number of people in each. The Supreme Court was asked to decide whether Illinois’ congressional districts violated constitutional requirements for fair districting.</w:t>
      </w:r>
    </w:p>
    <w:p w:rsidR="00E10979" w:rsidRDefault="00E10979" w:rsidP="00E10979">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rsidR="00E10979" w:rsidRPr="00AD63A2" w:rsidRDefault="00E10979" w:rsidP="00E10979">
      <w:pPr>
        <w:pStyle w:val="Subhead2sl"/>
      </w:pPr>
      <w:r>
        <w:t>Arguments for Baker (petitioner)</w:t>
      </w:r>
    </w:p>
    <w:p w:rsidR="00E10979" w:rsidRPr="00E10979" w:rsidRDefault="00E10979" w:rsidP="00E10979">
      <w:pPr>
        <w:pStyle w:val="Bulletsl"/>
        <w:spacing w:line="276" w:lineRule="auto"/>
      </w:pPr>
      <w:r w:rsidRPr="00E10979">
        <w:t xml:space="preserve">The courts should be able to decide this issue. The text of Article III, section 2 of the </w:t>
      </w:r>
      <w:r>
        <w:t xml:space="preserve">U.S. </w:t>
      </w:r>
      <w:r w:rsidRPr="00E10979">
        <w:t xml:space="preserve">Constitution is clear: “judicial Power shall extend to all Cases, in Law and Equity, arising </w:t>
      </w:r>
      <w:r w:rsidRPr="00E10979">
        <w:lastRenderedPageBreak/>
        <w:t xml:space="preserve">under this Constitution.” This is an issue that arises under the Constitution because the right of the residents of Tennessee to “equal protection of the law” under the </w:t>
      </w:r>
      <w:r>
        <w:t>14</w:t>
      </w:r>
      <w:r w:rsidRPr="00163CBF">
        <w:t>th</w:t>
      </w:r>
      <w:r>
        <w:t xml:space="preserve"> A</w:t>
      </w:r>
      <w:r w:rsidRPr="00E10979">
        <w:t xml:space="preserve">mendment was in question. </w:t>
      </w:r>
    </w:p>
    <w:p w:rsidR="00E10979" w:rsidRPr="00E10979" w:rsidRDefault="00E10979" w:rsidP="00E10979">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rsidR="00E10979" w:rsidRPr="00E10979" w:rsidRDefault="00E10979" w:rsidP="00E10979">
      <w:pPr>
        <w:pStyle w:val="Bulletsl"/>
        <w:spacing w:line="276" w:lineRule="auto"/>
      </w:pPr>
      <w:r w:rsidRPr="00E10979">
        <w:t>Courts should not follow a long-held practice merely because it is a tradition. There needs to be an important and constitutional reason why the courts should not decide a case.</w:t>
      </w:r>
    </w:p>
    <w:p w:rsidR="00E10979" w:rsidRPr="00E10979" w:rsidRDefault="00E10979" w:rsidP="00E10979">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rsidR="00D42341">
        <w:t>the harm</w:t>
      </w:r>
      <w:r w:rsidRPr="00E10979">
        <w:t xml:space="preserve"> that would happen if the situation is not addressed immediately.</w:t>
      </w:r>
    </w:p>
    <w:p w:rsidR="00E10979" w:rsidRPr="00E10979" w:rsidRDefault="00E10979" w:rsidP="00E10979">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rsidR="00E10979" w:rsidRPr="00E10979" w:rsidRDefault="00E10979" w:rsidP="00E10979">
      <w:pPr>
        <w:pStyle w:val="Subhead2sl"/>
      </w:pPr>
      <w:r w:rsidRPr="00E10979">
        <w:t>Arguments for Carr (respondent)</w:t>
      </w:r>
    </w:p>
    <w:p w:rsidR="00E10979" w:rsidRDefault="00E10979" w:rsidP="00E10979">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rsidR="00E10979" w:rsidRDefault="00E10979" w:rsidP="00E10979">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rsidR="00E10979" w:rsidRDefault="00E10979" w:rsidP="00E10979">
      <w:pPr>
        <w:pStyle w:val="Bulletsl"/>
        <w:spacing w:line="276" w:lineRule="auto"/>
      </w:pPr>
      <w:r>
        <w:t xml:space="preserve">Federal courts have always viewed districting as a uniquely political function that states do not have to carry out in any particular way. </w:t>
      </w:r>
    </w:p>
    <w:p w:rsidR="00E10979" w:rsidRDefault="00E10979" w:rsidP="00E10979">
      <w:pPr>
        <w:pStyle w:val="Bulletsl"/>
        <w:spacing w:line="276" w:lineRule="auto"/>
      </w:pPr>
      <w:r>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rsidR="00E10979" w:rsidRDefault="00E10979" w:rsidP="00E10979">
      <w:pPr>
        <w:pStyle w:val="Bulletsl"/>
        <w:spacing w:line="276" w:lineRule="auto"/>
      </w:pPr>
      <w:r>
        <w:lastRenderedPageBreak/>
        <w:t>The courts do not need to interfere with the democratic process. If t</w:t>
      </w:r>
      <w:r w:rsidR="00D42341">
        <w:t>he residents of Tennessee want to</w:t>
      </w:r>
      <w:r>
        <w:t xml:space="preserve"> change how their legislature draws the state’s districts, they can encourage their elected officials to make that change through the existing democratic process. </w:t>
      </w:r>
    </w:p>
    <w:p w:rsidR="00E10979" w:rsidRDefault="00E10979" w:rsidP="00E10979">
      <w:pPr>
        <w:pStyle w:val="Bulletsl"/>
        <w:numPr>
          <w:ilvl w:val="0"/>
          <w:numId w:val="0"/>
        </w:numPr>
        <w:spacing w:before="480"/>
      </w:pPr>
      <w:r w:rsidRPr="00B726EB">
        <w:rPr>
          <w:rStyle w:val="Subhead2slChar"/>
        </w:rPr>
        <w:t>Decision</w:t>
      </w:r>
    </w:p>
    <w:p w:rsidR="00E10979" w:rsidRPr="008F49CE" w:rsidRDefault="00E10979" w:rsidP="00E10979">
      <w:pPr>
        <w:pStyle w:val="Basiccopysl"/>
        <w:rPr>
          <w:b/>
          <w:sz w:val="22"/>
          <w:szCs w:val="22"/>
        </w:rPr>
      </w:pPr>
      <w:r>
        <w:t xml:space="preserve">In a 6–2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 Frankfurter and Justice Harlan wrote dissenting opinions. </w:t>
      </w:r>
    </w:p>
    <w:p w:rsidR="00E10979" w:rsidRPr="00E10979" w:rsidRDefault="00E10979" w:rsidP="00E10979">
      <w:pPr>
        <w:pStyle w:val="Subhead3sl"/>
      </w:pPr>
      <w:r w:rsidRPr="00E10979">
        <w:t>Majority</w:t>
      </w:r>
    </w:p>
    <w:p w:rsidR="00E10979" w:rsidRDefault="00E10979" w:rsidP="00E10979">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w:t>
      </w:r>
      <w:r w:rsidR="00D42341">
        <w:t>ffering</w:t>
      </w:r>
      <w:r>
        <w:t xml:space="preserve"> populations of legislative districts does not present a “political question” that courts are unable to decide.  </w:t>
      </w:r>
    </w:p>
    <w:p w:rsidR="00E10979" w:rsidRDefault="00E10979" w:rsidP="00E10979">
      <w:pPr>
        <w:pStyle w:val="Basiccopysl"/>
      </w:pPr>
      <w:r w:rsidRPr="006D2CFE">
        <w:t xml:space="preserve">The Court did not decide whether Tennessee’s districts </w:t>
      </w:r>
      <w:r>
        <w:t xml:space="preserve">actually </w:t>
      </w:r>
      <w:r w:rsidRPr="006D2CFE">
        <w:t xml:space="preserve">were unconstitutional, however. Instead, the justices instructed the </w:t>
      </w:r>
      <w:r>
        <w:t>D</w:t>
      </w:r>
      <w:r w:rsidRPr="006D2CFE">
        <w:t xml:space="preserve">istrict </w:t>
      </w:r>
      <w:r>
        <w:t>C</w:t>
      </w:r>
      <w:r w:rsidRPr="006D2CFE">
        <w:t xml:space="preserve">ourt to allow a hearing on the merits of Baker’s claim that the state’s legislative districts violated his </w:t>
      </w:r>
      <w:r>
        <w:t>14th</w:t>
      </w:r>
      <w:r w:rsidRPr="006D2CFE">
        <w:t xml:space="preserve"> Amendment rights.</w:t>
      </w:r>
      <w:r>
        <w:t xml:space="preserve"> That course established a precedent that dozens of federal courts later followed in allowing disgruntled residents to try to prove that legislative districts are unconstitutionally unbalanced.</w:t>
      </w:r>
      <w:r w:rsidRPr="006D2CFE">
        <w:t xml:space="preserve"> </w:t>
      </w:r>
    </w:p>
    <w:p w:rsidR="00E10979" w:rsidRPr="00406DC5" w:rsidRDefault="00E10979" w:rsidP="00E10979">
      <w:pPr>
        <w:pStyle w:val="Subhead3sl"/>
      </w:pPr>
      <w:r w:rsidRPr="00406DC5">
        <w:t>Dissent</w:t>
      </w:r>
      <w:r>
        <w:t>s</w:t>
      </w:r>
    </w:p>
    <w:p w:rsidR="00E10979" w:rsidRDefault="00E10979" w:rsidP="00E10979">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case was seen as an entirely “different matter from denial of the franchise [right to vote] to individuals because of race, color, religion or sex.” Because they found nothing in the Constitution that would require states to draw districts in a particular manner, there was no basis for federal courts to interfere with a political task that the Constitution left to the state legislatures.</w:t>
      </w:r>
    </w:p>
    <w:p w:rsidR="00E10979" w:rsidRDefault="00E10979" w:rsidP="00E10979">
      <w:pPr>
        <w:pStyle w:val="Basiccopysl"/>
      </w:pPr>
      <w:r>
        <w:t xml:space="preserve">Justice Harlan’s dissent highlighted just how significant the majority decision was. As he noted: </w:t>
      </w:r>
    </w:p>
    <w:p w:rsidR="000C0D30" w:rsidRDefault="00E10979" w:rsidP="00E10979">
      <w:pPr>
        <w:pStyle w:val="Basiccopysl"/>
        <w:ind w:left="360" w:right="360"/>
        <w:sectPr w:rsidR="000C0D30"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pPr>
      <w:r>
        <w:lastRenderedPageBreak/>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rsidR="000C0D30" w:rsidRPr="000E736C" w:rsidRDefault="000C0D30" w:rsidP="000E736C">
      <w:pPr>
        <w:pStyle w:val="Title2sl"/>
        <w:jc w:val="center"/>
        <w:rPr>
          <w:i/>
          <w:color w:val="000000"/>
        </w:rPr>
      </w:pPr>
      <w:r w:rsidRPr="000E736C">
        <w:rPr>
          <w:i/>
        </w:rPr>
        <w:lastRenderedPageBreak/>
        <w:t>Brown</w:t>
      </w:r>
      <w:r w:rsidRPr="000E736C">
        <w:rPr>
          <w:i/>
          <w:color w:val="000000"/>
        </w:rPr>
        <w:t xml:space="preserve"> v. </w:t>
      </w:r>
      <w:r w:rsidRPr="000E736C">
        <w:rPr>
          <w:i/>
        </w:rPr>
        <w:t>Board of Education of Topeka</w:t>
      </w:r>
      <w:r>
        <w:rPr>
          <w:i/>
        </w:rPr>
        <w:t xml:space="preserve"> </w:t>
      </w:r>
      <w:r w:rsidRPr="000E736C">
        <w:t>(1954)</w:t>
      </w:r>
    </w:p>
    <w:p w:rsidR="000C0D30" w:rsidRDefault="000C0D30" w:rsidP="000E736C">
      <w:pPr>
        <w:pStyle w:val="Basiccopysl"/>
        <w:spacing w:after="0"/>
        <w:jc w:val="center"/>
      </w:pPr>
      <w:r>
        <w:rPr>
          <w:b/>
        </w:rPr>
        <w:t xml:space="preserve">Argued: </w:t>
      </w:r>
      <w:r>
        <w:t>December 9–11, 1952</w:t>
      </w:r>
    </w:p>
    <w:p w:rsidR="000C0D30" w:rsidRDefault="000C0D30" w:rsidP="000E736C">
      <w:pPr>
        <w:pStyle w:val="Basiccopysl"/>
        <w:spacing w:after="0"/>
        <w:jc w:val="center"/>
      </w:pPr>
      <w:r>
        <w:rPr>
          <w:b/>
        </w:rPr>
        <w:t>Reargued</w:t>
      </w:r>
      <w:r>
        <w:t>: December 7–9, 1953</w:t>
      </w:r>
    </w:p>
    <w:p w:rsidR="000C0D30" w:rsidRDefault="000C0D30" w:rsidP="000E736C">
      <w:pPr>
        <w:pStyle w:val="Basiccopysl"/>
        <w:jc w:val="center"/>
        <w:rPr>
          <w:b/>
        </w:rPr>
      </w:pPr>
      <w:r>
        <w:rPr>
          <w:b/>
        </w:rPr>
        <w:t>Decided</w:t>
      </w:r>
      <w:r>
        <w:t>: May 17, 1954</w:t>
      </w:r>
    </w:p>
    <w:p w:rsidR="000C0D30" w:rsidRDefault="000C0D30" w:rsidP="000E736C">
      <w:pPr>
        <w:pStyle w:val="Subhead2sl"/>
      </w:pPr>
      <w:r>
        <w:t>Background</w:t>
      </w:r>
    </w:p>
    <w:p w:rsidR="000C0D30" w:rsidRPr="00520D34" w:rsidRDefault="000C0D30" w:rsidP="000E736C">
      <w:pPr>
        <w:pStyle w:val="Basiccopysl"/>
        <w:rPr>
          <w:rFonts w:eastAsia="Garamond" w:cs="Garamond"/>
          <w:color w:val="222222"/>
        </w:rPr>
      </w:pPr>
      <w:r w:rsidRPr="00145DF5">
        <w:t xml:space="preserve">The </w:t>
      </w:r>
      <w:r>
        <w:t>14th</w:t>
      </w:r>
      <w:r w:rsidRPr="00145DF5">
        <w:t xml:space="preserve"> 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rsidR="000C0D30" w:rsidRDefault="000C0D30" w:rsidP="000E736C">
      <w:pPr>
        <w:pStyle w:val="Basiccopysl"/>
        <w:rPr>
          <w:rFonts w:eastAsia="Garamond" w:cs="Garamond"/>
          <w:color w:val="222222"/>
        </w:rPr>
      </w:pPr>
      <w:r>
        <w:rPr>
          <w:rFonts w:eastAsia="Garamond" w:cs="Garamond"/>
          <w:color w:val="222222"/>
        </w:rPr>
        <w:t xml:space="preserve">By the 1950s, many public facilities had been segregated by race for decades, including many schools across the country. This case is about whether such racial segregation violates the Equal Protection Clause of the 14th Amendment. </w:t>
      </w:r>
    </w:p>
    <w:p w:rsidR="000C0D30" w:rsidRDefault="000C0D30" w:rsidP="000E736C">
      <w:pPr>
        <w:pStyle w:val="Subhead2sl"/>
        <w:rPr>
          <w:color w:val="222222"/>
        </w:rPr>
      </w:pPr>
      <w:r>
        <w:t>Facts</w:t>
      </w:r>
    </w:p>
    <w:p w:rsidR="000C0D30" w:rsidRDefault="000C0D30" w:rsidP="000E736C">
      <w:pPr>
        <w:pStyle w:val="Basiccopysl"/>
      </w:pPr>
      <w:r>
        <w:t>In the early 1950s, Linda Brown was a young African-American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rsidR="000C0D30" w:rsidRDefault="000C0D30"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rsidR="000C0D30" w:rsidRDefault="000C0D30" w:rsidP="000E736C">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14th Amendment.</w:t>
      </w:r>
    </w:p>
    <w:p w:rsidR="000C0D30" w:rsidRDefault="000C0D30"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lastRenderedPageBreak/>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rsidR="000C0D30" w:rsidRDefault="000C0D30" w:rsidP="000E736C">
      <w:pPr>
        <w:pStyle w:val="Subhead2sl"/>
        <w:rPr>
          <w:color w:val="222222"/>
        </w:rPr>
      </w:pPr>
      <w:r>
        <w:t>Issue</w:t>
      </w:r>
    </w:p>
    <w:p w:rsidR="000C0D30" w:rsidRDefault="000C0D30" w:rsidP="000E736C">
      <w:pPr>
        <w:pStyle w:val="Basiccopysl"/>
        <w:rPr>
          <w:color w:val="000000"/>
        </w:rPr>
      </w:pPr>
      <w:r>
        <w:t xml:space="preserve">Does segregation of public schools by race violate the Equal Protection Clause of the </w:t>
      </w:r>
      <w:r>
        <w:rPr>
          <w:color w:val="000000"/>
        </w:rPr>
        <w:t>14th Amendment?</w:t>
      </w:r>
    </w:p>
    <w:p w:rsidR="000C0D30" w:rsidRDefault="000C0D30" w:rsidP="000E736C">
      <w:pPr>
        <w:pStyle w:val="Subhead2sl"/>
      </w:pPr>
      <w:r>
        <w:t>Constitutional Amendments and Precedents</w:t>
      </w:r>
    </w:p>
    <w:p w:rsidR="000C0D30" w:rsidRPr="000E736C" w:rsidRDefault="000C0D30" w:rsidP="000E736C">
      <w:pPr>
        <w:pStyle w:val="Bulletsl"/>
        <w:spacing w:before="240"/>
        <w:rPr>
          <w:b/>
        </w:rPr>
      </w:pPr>
      <w:r>
        <w:rPr>
          <w:b/>
        </w:rPr>
        <w:t xml:space="preserve">14th Amendment to the </w:t>
      </w:r>
      <w:r w:rsidRPr="000E736C">
        <w:rPr>
          <w:b/>
        </w:rPr>
        <w:t>U.S. Constitution</w:t>
      </w:r>
    </w:p>
    <w:p w:rsidR="000C0D30" w:rsidRDefault="000C0D30" w:rsidP="000E736C">
      <w:pPr>
        <w:pStyle w:val="Basiccopysl"/>
        <w:ind w:left="720"/>
      </w:pPr>
      <w:r>
        <w:t xml:space="preserve">“No State shall…deny to any person within its jurisdiction the equal protection of the laws.” </w:t>
      </w:r>
    </w:p>
    <w:p w:rsidR="000C0D30" w:rsidRPr="000E736C" w:rsidRDefault="000C0D30" w:rsidP="000E736C">
      <w:pPr>
        <w:pStyle w:val="Bulletsl"/>
        <w:spacing w:before="240"/>
        <w:rPr>
          <w:b/>
        </w:rPr>
      </w:pPr>
      <w:r w:rsidRPr="000E736C">
        <w:rPr>
          <w:b/>
          <w:i/>
        </w:rPr>
        <w:t>Plessy v. Ferguson</w:t>
      </w:r>
      <w:r w:rsidRPr="000E736C">
        <w:rPr>
          <w:b/>
        </w:rPr>
        <w:t xml:space="preserve"> (1896)</w:t>
      </w:r>
    </w:p>
    <w:p w:rsidR="000C0D30" w:rsidRPr="00C83E48" w:rsidRDefault="000C0D30" w:rsidP="000E736C">
      <w:pPr>
        <w:pStyle w:val="Basiccopysl"/>
        <w:ind w:left="720"/>
      </w:pPr>
      <w:r>
        <w:t xml:space="preserve">A Louisiana law required railroad companies to provide equal, but separate, facilities for white and black passengers. A mixed-race customer named Homer Plessy rode in the whites-only car and was arrested. Plessy argued that the Louisiana law violated the 14th 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rsidR="000C0D30" w:rsidRPr="000E736C" w:rsidRDefault="000C0D30" w:rsidP="000E736C">
      <w:pPr>
        <w:pStyle w:val="Bulletsl"/>
        <w:spacing w:before="240"/>
        <w:rPr>
          <w:b/>
          <w:i/>
        </w:rPr>
      </w:pPr>
      <w:proofErr w:type="spellStart"/>
      <w:r w:rsidRPr="000E736C">
        <w:rPr>
          <w:b/>
          <w:i/>
        </w:rPr>
        <w:t>Sweatt</w:t>
      </w:r>
      <w:proofErr w:type="spellEnd"/>
      <w:r w:rsidRPr="000E736C">
        <w:rPr>
          <w:b/>
          <w:i/>
        </w:rPr>
        <w:t xml:space="preserve"> v. Painter </w:t>
      </w:r>
      <w:r w:rsidRPr="000E736C">
        <w:rPr>
          <w:b/>
        </w:rPr>
        <w:t>(1950)</w:t>
      </w:r>
    </w:p>
    <w:p w:rsidR="000C0D30" w:rsidRPr="000E736C" w:rsidRDefault="000C0D30" w:rsidP="000E736C">
      <w:pPr>
        <w:pStyle w:val="Basiccopysl"/>
        <w:ind w:left="720"/>
      </w:pPr>
      <w:r>
        <w:t xml:space="preserve">Herman </w:t>
      </w:r>
      <w:proofErr w:type="spellStart"/>
      <w:r>
        <w:t>Sweatt</w:t>
      </w:r>
      <w:proofErr w:type="spellEnd"/>
      <w:r>
        <w:t xml:space="preserve"> was rejected from the University </w:t>
      </w:r>
      <w:proofErr w:type="gramStart"/>
      <w:r>
        <w:t>of</w:t>
      </w:r>
      <w:proofErr w:type="gramEnd"/>
      <w:r>
        <w:t xml:space="preserve"> Texas Law School because he was black. He sued school officials alleging a violation of the 14th Amendment. The Supreme Court examined the educational opportunities at the University </w:t>
      </w:r>
      <w:proofErr w:type="gramStart"/>
      <w:r>
        <w:t>of</w:t>
      </w:r>
      <w:proofErr w:type="gramEnd"/>
      <w:r>
        <w:t xml:space="preserve"> Texas Law School and a new law school at the Texas State University for Negroes and determined that the facilities, curricula, faculty, and other tangible factors were not equal. Therefore, they ruled that </w:t>
      </w:r>
      <w:proofErr w:type="spellStart"/>
      <w:r>
        <w:t>Sweatt’s</w:t>
      </w:r>
      <w:proofErr w:type="spellEnd"/>
      <w:r>
        <w:t xml:space="preserve"> rights had been violated. In addition to the more straightforward criteria, the justices examined at the two schools, they reasoned that other factors, such as the reputation of the faculty and influence of the alumni, could not be equalized. </w:t>
      </w:r>
    </w:p>
    <w:p w:rsidR="000C0D30" w:rsidRDefault="000C0D30" w:rsidP="000E736C">
      <w:pPr>
        <w:pStyle w:val="Subhead2sl"/>
      </w:pPr>
      <w:r>
        <w:t xml:space="preserve">Arguments for Brown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The 14th Amendment’s Equal Protection Clause promises equal protection of the laws. That means that states cannot treat people differently based on their race, without an extremely </w:t>
      </w:r>
      <w:r>
        <w:lastRenderedPageBreak/>
        <w:t xml:space="preserve">good reason. There is not a good reason to keep black children and white children from attending the same schools.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rsidR="000C0D30" w:rsidRDefault="000C0D30" w:rsidP="000E736C">
      <w:pPr>
        <w:pStyle w:val="Bulletsl"/>
        <w:spacing w:line="276" w:lineRule="auto"/>
      </w:pPr>
      <w:r>
        <w:t>At least two of the high schools in Topeka, Kansas, had already been desegregated with no negative effects. The policy should be consistent in all of Topeka’s public primary and secondary schools.</w:t>
      </w:r>
    </w:p>
    <w:p w:rsidR="000C0D30" w:rsidRDefault="000C0D30" w:rsidP="000E736C">
      <w:pPr>
        <w:pStyle w:val="Bulletsl"/>
        <w:spacing w:line="276" w:lineRule="auto"/>
      </w:pPr>
      <w:r>
        <w:t>Segregation is morally wrong.</w:t>
      </w:r>
    </w:p>
    <w:p w:rsidR="000C0D30" w:rsidRDefault="000C0D30" w:rsidP="000E736C">
      <w:pPr>
        <w:pStyle w:val="Subhead2sl"/>
      </w:pPr>
      <w:r>
        <w:rPr>
          <w:color w:val="000000"/>
        </w:rPr>
        <w:t xml:space="preserve">Arguments for </w:t>
      </w:r>
      <w:r>
        <w:t>Board of Education</w:t>
      </w:r>
      <w:r>
        <w:rPr>
          <w:color w:val="000000"/>
        </w:rPr>
        <w:t xml:space="preserve"> </w:t>
      </w:r>
    </w:p>
    <w:p w:rsidR="000C0D30" w:rsidRPr="00D74E82" w:rsidRDefault="000C0D30" w:rsidP="000E736C">
      <w:pPr>
        <w:pStyle w:val="Bulletsl"/>
      </w:pPr>
      <w:r>
        <w:t xml:space="preserve">The 14th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rsidR="000C0D30" w:rsidRDefault="000C0D30" w:rsidP="000E736C">
      <w:pPr>
        <w:pStyle w:val="Bulletsl"/>
      </w:pPr>
      <w:r>
        <w:t>In Topeka, unlike in</w:t>
      </w:r>
      <w:r w:rsidRPr="00D74E82">
        <w:rPr>
          <w:i/>
        </w:rPr>
        <w:t xml:space="preserve"> </w:t>
      </w:r>
      <w:proofErr w:type="spellStart"/>
      <w:r w:rsidRPr="00D74E82">
        <w:rPr>
          <w:i/>
        </w:rPr>
        <w:t>Sweatt</w:t>
      </w:r>
      <w:proofErr w:type="spellEnd"/>
      <w:r w:rsidRPr="00D74E82">
        <w:rPr>
          <w:i/>
        </w:rPr>
        <w:t xml:space="preserve"> v. Painter</w:t>
      </w:r>
      <w:r>
        <w:t>, the schools for black and white students have similar, equal facilities.</w:t>
      </w:r>
    </w:p>
    <w:p w:rsidR="000C0D30" w:rsidRDefault="000C0D30" w:rsidP="000E736C">
      <w:pPr>
        <w:pStyle w:val="Bulletsl"/>
      </w:pPr>
      <w:r>
        <w:t>The United States has a federal system of government that leaves educational decision-making to state and local legislatures. States should make decisions about the best environments for their school-aged children.</w:t>
      </w:r>
    </w:p>
    <w:p w:rsidR="000C0D30" w:rsidRDefault="000C0D30"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rsidR="000C0D30" w:rsidRDefault="000C0D30" w:rsidP="000E736C">
      <w:pPr>
        <w:pStyle w:val="Subhead2sl"/>
      </w:pPr>
      <w:r>
        <w:t>Decision</w:t>
      </w:r>
    </w:p>
    <w:p w:rsidR="000C0D30" w:rsidRPr="00C83E48" w:rsidRDefault="000C0D30"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t>14</w:t>
      </w:r>
      <w:r w:rsidRPr="00C83E48">
        <w:t xml:space="preserve">th Amendment’s Equal Protection Clause. </w:t>
      </w:r>
    </w:p>
    <w:p w:rsidR="000C0D30" w:rsidRPr="00C83E48" w:rsidRDefault="000C0D30" w:rsidP="000E736C">
      <w:pPr>
        <w:pStyle w:val="Basiccopysl"/>
        <w:rPr>
          <w:rFonts w:cs="Times New Roman"/>
          <w:color w:val="222222"/>
        </w:rPr>
      </w:pPr>
      <w:r w:rsidRPr="00C83E48">
        <w:rPr>
          <w:rFonts w:cs="Times New Roman"/>
          <w:color w:val="222222"/>
        </w:rPr>
        <w:lastRenderedPageBreak/>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rsidR="000C0D30" w:rsidRPr="00C83E48" w:rsidRDefault="000C0D30"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n many ways it echoed aspects of Justice Harlan’s</w:t>
      </w:r>
      <w:r w:rsidRPr="00C83E48">
        <w:t xml:space="preserve"> dissent in that earlier case. </w:t>
      </w:r>
    </w:p>
    <w:p w:rsidR="000C0D30" w:rsidRDefault="000C0D30"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rsidR="000C0D30" w:rsidRDefault="000C0D30"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rsidR="000C0D30" w:rsidRDefault="000C0D30" w:rsidP="00330C55">
      <w:pPr>
        <w:pStyle w:val="Title2sl"/>
        <w:jc w:val="center"/>
        <w:rPr>
          <w:i/>
        </w:rPr>
        <w:sectPr w:rsidR="000C0D30" w:rsidSect="00F42CDF">
          <w:headerReference w:type="default" r:id="rId12"/>
          <w:footerReference w:type="default" r:id="rId13"/>
          <w:headerReference w:type="first" r:id="rId14"/>
          <w:footerReference w:type="first" r:id="rId15"/>
          <w:footnotePr>
            <w:numFmt w:val="chicago"/>
          </w:footnotePr>
          <w:pgSz w:w="12240" w:h="15840"/>
          <w:pgMar w:top="1440" w:right="1440" w:bottom="1440" w:left="1440" w:header="720" w:footer="720" w:gutter="0"/>
          <w:cols w:space="720"/>
          <w:titlePg/>
          <w:docGrid w:linePitch="360"/>
        </w:sectPr>
      </w:pPr>
    </w:p>
    <w:p w:rsidR="000C0D30" w:rsidRPr="00330C55" w:rsidRDefault="000C0D30" w:rsidP="00330C55">
      <w:pPr>
        <w:pStyle w:val="Title2sl"/>
        <w:jc w:val="center"/>
        <w:rPr>
          <w:i/>
        </w:rPr>
      </w:pPr>
      <w:r w:rsidRPr="00330C55">
        <w:rPr>
          <w:i/>
        </w:rPr>
        <w:lastRenderedPageBreak/>
        <w:t>Citizens United v. FEC</w:t>
      </w:r>
      <w:r>
        <w:rPr>
          <w:i/>
        </w:rPr>
        <w:t xml:space="preserve"> </w:t>
      </w:r>
      <w:r w:rsidRPr="00BD4513">
        <w:t>(2010)</w:t>
      </w:r>
    </w:p>
    <w:p w:rsidR="000C0D30" w:rsidRDefault="000C0D30" w:rsidP="00330C55">
      <w:pPr>
        <w:pStyle w:val="Basiccopysl"/>
        <w:spacing w:after="0"/>
        <w:jc w:val="center"/>
      </w:pPr>
      <w:r w:rsidRPr="006C1853">
        <w:rPr>
          <w:b/>
        </w:rPr>
        <w:t>Argued</w:t>
      </w:r>
      <w:r>
        <w:rPr>
          <w:b/>
        </w:rPr>
        <w:t>:</w:t>
      </w:r>
      <w:r w:rsidRPr="00410580">
        <w:t xml:space="preserve"> </w:t>
      </w:r>
      <w:r>
        <w:t>March 24, 2009</w:t>
      </w:r>
    </w:p>
    <w:p w:rsidR="000C0D30" w:rsidRDefault="000C0D30" w:rsidP="00330C55">
      <w:pPr>
        <w:pStyle w:val="Basiccopysl"/>
        <w:spacing w:after="0"/>
        <w:jc w:val="center"/>
      </w:pPr>
      <w:r>
        <w:rPr>
          <w:b/>
        </w:rPr>
        <w:t>Re</w:t>
      </w:r>
      <w:r w:rsidRPr="006C1853">
        <w:rPr>
          <w:b/>
        </w:rPr>
        <w:t>argued:</w:t>
      </w:r>
      <w:r>
        <w:t xml:space="preserve"> September 9, 2009</w:t>
      </w:r>
    </w:p>
    <w:p w:rsidR="000C0D30" w:rsidRDefault="000C0D30" w:rsidP="00330C55">
      <w:pPr>
        <w:pStyle w:val="Basiccopysl"/>
        <w:jc w:val="center"/>
        <w:rPr>
          <w:b/>
        </w:rPr>
      </w:pPr>
      <w:r w:rsidRPr="006C1853">
        <w:rPr>
          <w:b/>
        </w:rPr>
        <w:t>Decided:</w:t>
      </w:r>
      <w:r>
        <w:t xml:space="preserve"> January 21, 2010</w:t>
      </w:r>
    </w:p>
    <w:p w:rsidR="000C0D30" w:rsidRPr="000C29C6" w:rsidRDefault="000C0D30" w:rsidP="00330C55">
      <w:pPr>
        <w:pStyle w:val="Subhead2sl"/>
      </w:pPr>
      <w:r w:rsidRPr="006C1853">
        <w:t>Background</w:t>
      </w:r>
      <w:r w:rsidRPr="000C29C6">
        <w:t xml:space="preserve"> </w:t>
      </w:r>
    </w:p>
    <w:p w:rsidR="000C0D30" w:rsidRPr="00330C55" w:rsidRDefault="000C0D30" w:rsidP="00330C55">
      <w:pPr>
        <w:pStyle w:val="Basiccopysl"/>
      </w:pPr>
      <w:r w:rsidRPr="00330C55">
        <w:t>Each election cycle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supporting more spending</w:t>
      </w:r>
      <w:r>
        <w:t xml:space="preserve"> </w:t>
      </w:r>
      <w:r w:rsidRPr="00330C55">
        <w:t xml:space="preserve">say that giving and spending money on elections is a basic form of political speech protected by the First Amendment. </w:t>
      </w:r>
    </w:p>
    <w:p w:rsidR="000C0D30" w:rsidRDefault="000C0D30" w:rsidP="00330C55">
      <w:pPr>
        <w:pStyle w:val="Basiccopysl"/>
      </w:pPr>
      <w:r w:rsidRPr="00330C55">
        <w:t xml:space="preserve">Over the past 100 years, Congress has attempted to set some limits on campaign fundraising in order to reduce corruption or anything that can be perceived as corruption. </w:t>
      </w:r>
    </w:p>
    <w:p w:rsidR="000C0D30" w:rsidRPr="00330C55" w:rsidRDefault="000C0D30" w:rsidP="00330C55">
      <w:pPr>
        <w:pStyle w:val="Basiccopysl"/>
      </w:pPr>
      <w:r w:rsidRPr="00330C55">
        <w:t xml:space="preserve">The Supreme Court </w:t>
      </w:r>
      <w:r>
        <w:t xml:space="preserve">has </w:t>
      </w:r>
      <w:r w:rsidRPr="00330C55">
        <w:t>decided that both donating and spending money on elections is a form of speech. For candidates, the money pays for ways to share his or her views with the electorate</w:t>
      </w:r>
      <w:r>
        <w:t>—</w:t>
      </w:r>
      <w:r w:rsidRPr="00330C55">
        <w:t xml:space="preserve">through advertisements, mail and email, and travel to give speeches. For donors, giving money to a candidate is a way to express political views. Therefore, any law that limits donating or spending money on elections limits free speech, and the government must have a very good reason for making such laws. </w:t>
      </w:r>
    </w:p>
    <w:p w:rsidR="000C0D30" w:rsidRPr="00330C55" w:rsidRDefault="000C0D30" w:rsidP="00330C55">
      <w:pPr>
        <w:pStyle w:val="Basiccopysl"/>
      </w:pPr>
      <w:r w:rsidRPr="00330C55">
        <w:t xml:space="preserve">The Supreme Court has ruled that laws that restrict how much </w:t>
      </w:r>
      <w:r w:rsidRPr="004137AA">
        <w:rPr>
          <w:u w:val="single"/>
        </w:rPr>
        <w:t>candidates can spend</w:t>
      </w:r>
      <w:r w:rsidRPr="00330C55">
        <w:t xml:space="preserve"> on a campaign are unconstitutional, since candidates spend money to get their message out, which is a very important form of political speech. However, the Court has said</w:t>
      </w:r>
      <w:r>
        <w:t xml:space="preserve"> that </w:t>
      </w:r>
      <w:r w:rsidRPr="00330C55">
        <w:t xml:space="preserve">laws that restrict how much </w:t>
      </w:r>
      <w:r w:rsidRPr="004137AA">
        <w:rPr>
          <w:u w:val="single"/>
        </w:rPr>
        <w:t>individuals and groups can donate</w:t>
      </w:r>
      <w:r w:rsidRPr="00330C55">
        <w:t xml:space="preserve"> directly to candidates are allowed, because that spending is slightly removed from core political speech, and such laws can prevent corruption. In 2018, the maximum amount an individual could give directly to a federal candidate was $2,700. </w:t>
      </w:r>
    </w:p>
    <w:p w:rsidR="000C0D30" w:rsidRPr="00330C55" w:rsidRDefault="000C0D30" w:rsidP="00330C55">
      <w:pPr>
        <w:pStyle w:val="Basiccopysl"/>
      </w:pPr>
      <w:r w:rsidRPr="00330C55">
        <w:t>This case, however, is not about direct donations to candidates. Instead, this case is about how and when companies and other organizations can spend their own money to advocate the election or defeat of a candidate.</w:t>
      </w:r>
      <w:r>
        <w:t xml:space="preserve"> </w:t>
      </w:r>
    </w:p>
    <w:p w:rsidR="000C0D30" w:rsidRPr="006C1853" w:rsidRDefault="000C0D30" w:rsidP="00330C55">
      <w:pPr>
        <w:pStyle w:val="Subhead2sl"/>
        <w:rPr>
          <w:bCs/>
        </w:rPr>
      </w:pPr>
      <w:r w:rsidRPr="006C1853">
        <w:t>Facts</w:t>
      </w:r>
    </w:p>
    <w:p w:rsidR="000C0D30" w:rsidRDefault="000C0D30" w:rsidP="00330C5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dealt with how corporations and unions could spend money to advocate the election or </w:t>
      </w:r>
      <w:r>
        <w:lastRenderedPageBreak/>
        <w:t xml:space="preserve">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rsidR="000C0D30" w:rsidRDefault="000C0D30" w:rsidP="00330C5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said that </w:t>
      </w:r>
      <w:r>
        <w:rPr>
          <w:i/>
        </w:rPr>
        <w:t>Hillary: The Movie</w:t>
      </w:r>
      <w:r>
        <w:t xml:space="preserve"> was intended to influence voters, and, therefore, the BCRA applied. That meant that the organization was not allowed to advertise the film or pay to air it within 30 days of a primary election. Citizens United sued the FEC in federal court, asking to be allowed to show the film. The district court heard the case and decided that even though it was a full length movie and not a traditional television ad, the film was definitely an appeal to vote against Hillary Clinton. This meant that the bans in the BCRA applied: corporations and organizations could not pay to air this sort of direct appeal to voters so close to an election. </w:t>
      </w:r>
    </w:p>
    <w:p w:rsidR="000C0D30" w:rsidRDefault="000C0D30" w:rsidP="00330C55">
      <w:pPr>
        <w:pStyle w:val="Basiccopysl"/>
      </w:pPr>
      <w:r>
        <w:t xml:space="preserve">Because of a special provision in the BCRA, Citizens United was allowed to appeal the decision directly to the U.S. Supreme Court, which the organization did. Citizens United asked the Court to decide whether a feature-length film really fell under the rules of the BCRA and whether the law violated the organization’s First Amendment rights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rsidR="000C0D30" w:rsidRPr="006C1853" w:rsidRDefault="000C0D30" w:rsidP="00330C55">
      <w:pPr>
        <w:pStyle w:val="Subhead2sl"/>
        <w:rPr>
          <w:bCs/>
        </w:rPr>
      </w:pPr>
      <w:r w:rsidRPr="006C1853">
        <w:t>Issue</w:t>
      </w:r>
    </w:p>
    <w:p w:rsidR="000C0D30" w:rsidRDefault="000C0D30" w:rsidP="00330C55">
      <w:pPr>
        <w:pStyle w:val="Basiccopysl"/>
      </w:pPr>
      <w:r w:rsidRPr="007C0B50">
        <w:t xml:space="preserve">Does a law that limits </w:t>
      </w:r>
      <w:r>
        <w:t xml:space="preserve">the ability of </w:t>
      </w:r>
      <w:r w:rsidRPr="007C0B50">
        <w:t>corporations and labor</w:t>
      </w:r>
      <w:r>
        <w:t xml:space="preserve"> </w:t>
      </w:r>
      <w:r w:rsidRPr="007C0B50">
        <w:t xml:space="preserve">unions </w:t>
      </w:r>
      <w:r>
        <w:t xml:space="preserve">to spend their own money to advocate the election or defeat of a candidate </w:t>
      </w:r>
      <w:r w:rsidRPr="007C0B50">
        <w:t>violate the First Amendment’s</w:t>
      </w:r>
      <w:r>
        <w:t xml:space="preserve"> </w:t>
      </w:r>
      <w:r w:rsidRPr="007C0B50">
        <w:t>guarantee of free speech?</w:t>
      </w:r>
    </w:p>
    <w:p w:rsidR="000C0D30" w:rsidRPr="006C1853" w:rsidRDefault="000C0D30" w:rsidP="00330C55">
      <w:pPr>
        <w:pStyle w:val="Subhead2sl"/>
        <w:rPr>
          <w:bCs/>
        </w:rPr>
      </w:pPr>
      <w:r w:rsidRPr="006C1853">
        <w:t xml:space="preserve">Law and </w:t>
      </w:r>
      <w:r>
        <w:t xml:space="preserve">Supreme Court </w:t>
      </w:r>
      <w:r w:rsidRPr="006C1853">
        <w:t>Precedents</w:t>
      </w:r>
    </w:p>
    <w:p w:rsidR="000C0D30" w:rsidRPr="00330C55" w:rsidRDefault="000C0D30" w:rsidP="00330C55">
      <w:pPr>
        <w:pStyle w:val="Bulletsl"/>
        <w:spacing w:before="240"/>
        <w:rPr>
          <w:b/>
        </w:rPr>
      </w:pPr>
      <w:r w:rsidRPr="00330C55">
        <w:rPr>
          <w:b/>
          <w:i/>
        </w:rPr>
        <w:t>Austin v. Michigan Chamber of Commerce</w:t>
      </w:r>
      <w:r w:rsidRPr="00330C55">
        <w:rPr>
          <w:b/>
        </w:rPr>
        <w:t xml:space="preserve"> (1990) </w:t>
      </w:r>
    </w:p>
    <w:p w:rsidR="000C0D30" w:rsidRPr="002623B7" w:rsidRDefault="000C0D30" w:rsidP="00330C55">
      <w:pPr>
        <w:pStyle w:val="Bulletsl"/>
        <w:numPr>
          <w:ilvl w:val="0"/>
          <w:numId w:val="0"/>
        </w:numPr>
        <w:spacing w:line="276" w:lineRule="auto"/>
        <w:ind w:left="720"/>
      </w:pPr>
      <w:r w:rsidRPr="002623B7">
        <w:t>A state law in Michigan said that for-profit and non</w:t>
      </w:r>
      <w:r>
        <w:t>-</w:t>
      </w:r>
      <w:r w:rsidRPr="002623B7">
        <w:t xml:space="preserve">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w:t>
      </w:r>
      <w:r w:rsidRPr="002623B7">
        <w:lastRenderedPageBreak/>
        <w:t xml:space="preserve">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rsidR="000C0D30" w:rsidRPr="00330C55" w:rsidRDefault="000C0D30" w:rsidP="00330C55">
      <w:pPr>
        <w:pStyle w:val="Bulletsl"/>
        <w:spacing w:before="240"/>
        <w:rPr>
          <w:b/>
        </w:rPr>
      </w:pPr>
      <w:r w:rsidRPr="00330C55">
        <w:rPr>
          <w:b/>
        </w:rPr>
        <w:t xml:space="preserve">The Bipartisan Campaign Reform Act </w:t>
      </w:r>
      <w:r>
        <w:rPr>
          <w:b/>
        </w:rPr>
        <w:t xml:space="preserve">(BRCA) </w:t>
      </w:r>
      <w:r w:rsidRPr="00330C55">
        <w:rPr>
          <w:b/>
        </w:rPr>
        <w:t xml:space="preserve">of 2002 (Also </w:t>
      </w:r>
      <w:r>
        <w:rPr>
          <w:b/>
        </w:rPr>
        <w:t xml:space="preserve">known as the </w:t>
      </w:r>
      <w:r w:rsidRPr="00330C55">
        <w:rPr>
          <w:b/>
        </w:rPr>
        <w:t xml:space="preserve">McCain-Feingold </w:t>
      </w:r>
      <w:r>
        <w:rPr>
          <w:b/>
        </w:rPr>
        <w:t>Act</w:t>
      </w:r>
      <w:r w:rsidRPr="00330C55">
        <w:rPr>
          <w:b/>
        </w:rPr>
        <w:t>)</w:t>
      </w:r>
    </w:p>
    <w:p w:rsidR="000C0D30" w:rsidRDefault="000C0D30" w:rsidP="00330C55">
      <w:pPr>
        <w:pStyle w:val="Bulletsl"/>
        <w:numPr>
          <w:ilvl w:val="0"/>
          <w:numId w:val="0"/>
        </w:numPr>
        <w:spacing w:line="276" w:lineRule="auto"/>
        <w:ind w:left="720"/>
      </w:pPr>
      <w:r>
        <w:t>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w:t>
      </w:r>
    </w:p>
    <w:p w:rsidR="000C0D30" w:rsidRDefault="000C0D30" w:rsidP="00330C55">
      <w:pPr>
        <w:pStyle w:val="Bulletsl"/>
        <w:numPr>
          <w:ilvl w:val="0"/>
          <w:numId w:val="0"/>
        </w:numPr>
        <w:spacing w:line="276" w:lineRule="auto"/>
        <w:ind w:left="720"/>
      </w:pPr>
      <w:r>
        <w:t xml:space="preserve">In 2003, in a case called </w:t>
      </w:r>
      <w:r w:rsidRPr="00330C55">
        <w:rPr>
          <w:i/>
        </w:rPr>
        <w:t>McConnell v. FEC,</w:t>
      </w:r>
      <w:r>
        <w:t xml:space="preserve"> the Supreme Court said that the portion of the BCRA about electioneering communications was constitutional. </w:t>
      </w:r>
    </w:p>
    <w:p w:rsidR="000C0D30" w:rsidRPr="00330C55" w:rsidRDefault="000C0D30" w:rsidP="00330C55">
      <w:pPr>
        <w:pStyle w:val="Bulletsl"/>
        <w:spacing w:before="240"/>
        <w:rPr>
          <w:b/>
        </w:rPr>
      </w:pPr>
      <w:r w:rsidRPr="00330C55">
        <w:rPr>
          <w:b/>
          <w:i/>
        </w:rPr>
        <w:t>Wisconsin Right to Life v. FEC</w:t>
      </w:r>
      <w:r w:rsidRPr="00330C55">
        <w:rPr>
          <w:b/>
        </w:rPr>
        <w:t xml:space="preserve"> (2007)</w:t>
      </w:r>
    </w:p>
    <w:p w:rsidR="000C0D30" w:rsidRPr="00330C55" w:rsidRDefault="000C0D30" w:rsidP="00330C55">
      <w:pPr>
        <w:pStyle w:val="Bulletsl"/>
        <w:numPr>
          <w:ilvl w:val="0"/>
          <w:numId w:val="0"/>
        </w:numPr>
        <w:spacing w:line="276" w:lineRule="auto"/>
        <w:ind w:left="720"/>
      </w:pPr>
      <w:r w:rsidRPr="002623B7">
        <w:t>The BCRA banned corporations and unions from paying broadcast advertisements that named specific candidates for office near election time. This included both “express advocacy” (ads that specifically appealed to voters to vote for or against a certain candidate) and “issue advocacy” (ads that expressed a view about a political issue and mentioned a candidate). The Supreme Court decided that the 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reasonably mention public officials, as long as they are not direct appeals to vote for or against a specific candidate.</w:t>
      </w:r>
    </w:p>
    <w:p w:rsidR="000C0D30" w:rsidRPr="006C1853" w:rsidRDefault="000C0D30" w:rsidP="00330C55">
      <w:pPr>
        <w:pStyle w:val="Subhead2sl"/>
      </w:pPr>
      <w:r w:rsidRPr="006C1853">
        <w:t>Arguments for Citizens United</w:t>
      </w:r>
      <w:r>
        <w:t xml:space="preserve"> (petitioner)</w:t>
      </w:r>
    </w:p>
    <w:p w:rsidR="000C0D30" w:rsidRDefault="000C0D30" w:rsidP="00330C5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rsidR="000C0D30" w:rsidRDefault="000C0D30" w:rsidP="00330C5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rsidR="000C0D30" w:rsidRDefault="000C0D30" w:rsidP="00330C55">
      <w:pPr>
        <w:pStyle w:val="Bulletsl"/>
        <w:spacing w:line="276" w:lineRule="auto"/>
      </w:pPr>
      <w:r>
        <w:t>Newspapers are corporations. Through editorials, news organizations and media companies try to influence elections. If Congress is allowed to ban corporations from placing political ads, what prevents them from regulating the media as well?</w:t>
      </w:r>
    </w:p>
    <w:p w:rsidR="000C0D30" w:rsidRDefault="000C0D30" w:rsidP="00330C55">
      <w:pPr>
        <w:pStyle w:val="Bulletsl"/>
        <w:spacing w:line="276" w:lineRule="auto"/>
      </w:pPr>
      <w:r>
        <w:lastRenderedPageBreak/>
        <w:t>If a movie about a political candidate produced by a corporation can be banned, then books about political candidates that are published within 60 days of an election might be banned as well. Government censorship of this kind would have far reaching implications.</w:t>
      </w:r>
    </w:p>
    <w:p w:rsidR="000C0D30" w:rsidRDefault="000C0D30" w:rsidP="00330C55">
      <w:pPr>
        <w:pStyle w:val="Bulletsl"/>
        <w:spacing w:line="276" w:lineRule="auto"/>
      </w:pPr>
      <w:r w:rsidRPr="00C31929">
        <w:t>Though some</w:t>
      </w:r>
      <w:r>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rsidR="000C0D30" w:rsidRDefault="000C0D30" w:rsidP="00330C55">
      <w:pPr>
        <w:pStyle w:val="Bulletsl"/>
        <w:spacing w:line="276" w:lineRule="auto"/>
      </w:pPr>
      <w:r>
        <w:t>M</w:t>
      </w:r>
      <w:r w:rsidRPr="00C31929">
        <w:t>erely</w:t>
      </w:r>
      <w:r>
        <w:t xml:space="preserve"> </w:t>
      </w:r>
      <w:r w:rsidRPr="00C31929">
        <w:t>spending money to support a candidate</w:t>
      </w:r>
      <w:r>
        <w:t xml:space="preserve">—particularly when the money is not given to the candidate, but rather spent independently—does </w:t>
      </w:r>
      <w:r w:rsidRPr="00C31929">
        <w:t>not</w:t>
      </w:r>
      <w:r>
        <w:t xml:space="preserve"> </w:t>
      </w:r>
      <w:r w:rsidRPr="00C31929">
        <w:t>create or even suggest the corruption that campaign</w:t>
      </w:r>
      <w:r>
        <w:t xml:space="preserve"> </w:t>
      </w:r>
      <w:r w:rsidRPr="00C31929">
        <w:t>finance reform was originally created to address.</w:t>
      </w:r>
    </w:p>
    <w:p w:rsidR="000C0D30" w:rsidRPr="006C1853" w:rsidRDefault="000C0D30" w:rsidP="00330C55">
      <w:pPr>
        <w:pStyle w:val="Bulletsl"/>
        <w:spacing w:line="276" w:lineRule="auto"/>
        <w:rPr>
          <w:b/>
        </w:rPr>
      </w:pPr>
      <w:r>
        <w:t xml:space="preserve">Incumbents (the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rsidR="000C0D30" w:rsidRPr="006C1853" w:rsidRDefault="000C0D30" w:rsidP="00330C55">
      <w:pPr>
        <w:pStyle w:val="Subhead2sl"/>
      </w:pPr>
      <w:r w:rsidRPr="006C1853">
        <w:t>Arguments for the Federal Election Commission</w:t>
      </w:r>
      <w:r>
        <w:t xml:space="preserve"> (respondent)</w:t>
      </w:r>
    </w:p>
    <w:p w:rsidR="000C0D30" w:rsidRDefault="000C0D30" w:rsidP="00330C5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rsidR="000C0D30" w:rsidRDefault="000C0D30" w:rsidP="00330C55">
      <w:pPr>
        <w:pStyle w:val="Bulletsl"/>
        <w:spacing w:line="276" w:lineRule="auto"/>
      </w:pPr>
      <w:r>
        <w:t xml:space="preserve">The BCRA leaves corporations other ways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rsidR="000C0D30" w:rsidRDefault="000C0D30" w:rsidP="00330C5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rsidR="000C0D30" w:rsidRDefault="000C0D30" w:rsidP="00330C5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a candidate, corporations and unions will have a</w:t>
      </w:r>
      <w:r>
        <w:t xml:space="preserve"> </w:t>
      </w:r>
      <w:r w:rsidRPr="00C31929">
        <w:t>certain amount of access to, if not power over, that</w:t>
      </w:r>
      <w:r>
        <w:t xml:space="preserve"> </w:t>
      </w:r>
      <w:r w:rsidRPr="00C31929">
        <w:t xml:space="preserve">candidate. </w:t>
      </w:r>
    </w:p>
    <w:p w:rsidR="000C0D30" w:rsidRDefault="000C0D30" w:rsidP="00330C5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rsidR="000C0D30" w:rsidRDefault="000C0D30" w:rsidP="00330C55">
      <w:pPr>
        <w:pStyle w:val="Bulletsl"/>
        <w:spacing w:line="276" w:lineRule="auto"/>
      </w:pPr>
      <w:r>
        <w:t xml:space="preserve">Corporations can accumulate so much money that they could overwhelm the conversation and drown out the speech of less wealthy individuals in an election. </w:t>
      </w:r>
    </w:p>
    <w:p w:rsidR="000C0D30" w:rsidRDefault="000C0D30" w:rsidP="00330C55">
      <w:pPr>
        <w:pStyle w:val="Subhead2sl"/>
      </w:pPr>
      <w:r>
        <w:br w:type="page"/>
      </w:r>
    </w:p>
    <w:p w:rsidR="000C0D30" w:rsidRPr="00B74DCC" w:rsidRDefault="000C0D30" w:rsidP="00330C55">
      <w:pPr>
        <w:pStyle w:val="Subhead2sl"/>
        <w:rPr>
          <w:bCs/>
        </w:rPr>
      </w:pPr>
      <w:r w:rsidRPr="008A56E8">
        <w:lastRenderedPageBreak/>
        <w:t>Decision</w:t>
      </w:r>
    </w:p>
    <w:p w:rsidR="000C0D30" w:rsidRDefault="000C0D30" w:rsidP="00330C55">
      <w:pPr>
        <w:pStyle w:val="Basiccopysl"/>
      </w:pPr>
      <w:r w:rsidRPr="00926871">
        <w:t xml:space="preserve">Justice Kennedy wrote the majority opinion. He was joined by Chief Justice Roberts and Justices Scalia, Thomas, and Alito. Justice Stevens dissented and was joined by Justices Ginsburg, Breyer, and Sotomayor. </w:t>
      </w:r>
    </w:p>
    <w:p w:rsidR="000C0D30" w:rsidRPr="002623B7" w:rsidRDefault="000C0D30" w:rsidP="00330C55">
      <w:pPr>
        <w:pStyle w:val="Subhead3sl"/>
      </w:pPr>
      <w:r>
        <w:t>Majority</w:t>
      </w:r>
    </w:p>
    <w:p w:rsidR="000C0D30" w:rsidRPr="00926871" w:rsidRDefault="000C0D30" w:rsidP="00330C55">
      <w:pPr>
        <w:pStyle w:val="Basiccopysl"/>
      </w:pPr>
      <w:r w:rsidRPr="00926871">
        <w:t>The Court ruled</w:t>
      </w:r>
      <w:r>
        <w:t>, 5–4,</w:t>
      </w:r>
      <w:r w:rsidRPr="00926871">
        <w:t xml:space="preserve"> that the First Amendment prohibits limits on corporate funding of independent broadcasts in candidate elections. The Court reversed two earlier decisions that held that political speech by corporations may be limited (</w:t>
      </w:r>
      <w:r w:rsidRPr="00124556">
        <w:rPr>
          <w:i/>
        </w:rPr>
        <w:t>Austin v. Michigan Chamber of Commerce</w:t>
      </w:r>
      <w:r w:rsidRPr="00926871">
        <w:t xml:space="preserve"> and portions of </w:t>
      </w:r>
      <w:r w:rsidRPr="00124556">
        <w:rPr>
          <w:i/>
        </w:rPr>
        <w:t>McConnell v. FEC</w:t>
      </w:r>
      <w:r w:rsidRPr="00926871">
        <w:t>).</w:t>
      </w:r>
      <w:r>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oppose candidates for elected office. Moreover, the Court said, corporations have free speech rights and their political speech cannot be restricted any more than that of individuals. Justice Kennedy, writing for the majority, said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rsidR="000C0D30" w:rsidRPr="002623B7" w:rsidRDefault="000C0D30" w:rsidP="00330C55">
      <w:pPr>
        <w:pStyle w:val="Subhead3sl"/>
      </w:pPr>
      <w:r>
        <w:t>Dissent</w:t>
      </w:r>
    </w:p>
    <w:p w:rsidR="000C0D30" w:rsidRDefault="000C0D30" w:rsidP="00330C55">
      <w:pPr>
        <w:pStyle w:val="Basiccopysl"/>
      </w:pPr>
      <w:r w:rsidRPr="00926871">
        <w:t xml:space="preserve">Justice Stevens, writing for the dissenters, said that the First Amendment protects people, not corporations. The dissenters felt that the government should be allowed to ban corporate money 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rsidR="000C0D30" w:rsidRPr="00330C55" w:rsidRDefault="000C0D30" w:rsidP="00330C55"/>
    <w:p w:rsidR="000C0D30" w:rsidRDefault="000C0D30" w:rsidP="00391EA0">
      <w:pPr>
        <w:pStyle w:val="Title2sl"/>
        <w:jc w:val="center"/>
        <w:rPr>
          <w:i/>
        </w:rPr>
        <w:sectPr w:rsidR="000C0D30" w:rsidSect="000C0D30">
          <w:headerReference w:type="default" r:id="rId16"/>
          <w:footnotePr>
            <w:numFmt w:val="chicago"/>
          </w:footnotePr>
          <w:pgSz w:w="12240" w:h="15840"/>
          <w:pgMar w:top="1440" w:right="1440" w:bottom="1440" w:left="1440" w:header="720" w:footer="720" w:gutter="0"/>
          <w:cols w:space="720"/>
          <w:docGrid w:linePitch="360"/>
        </w:sectPr>
      </w:pPr>
    </w:p>
    <w:p w:rsidR="000C0D30" w:rsidRDefault="000C0D30" w:rsidP="00391EA0">
      <w:pPr>
        <w:pStyle w:val="Title2sl"/>
        <w:jc w:val="center"/>
      </w:pPr>
      <w:r w:rsidRPr="00391EA0">
        <w:rPr>
          <w:i/>
        </w:rPr>
        <w:lastRenderedPageBreak/>
        <w:t>Engel v. Vitale</w:t>
      </w:r>
      <w:r w:rsidRPr="005A76C8">
        <w:t xml:space="preserve"> (1962)</w:t>
      </w:r>
    </w:p>
    <w:p w:rsidR="000C0D30" w:rsidRPr="00882E1D" w:rsidRDefault="000C0D30" w:rsidP="00391EA0">
      <w:pPr>
        <w:pStyle w:val="Basiccopysl"/>
        <w:spacing w:after="0"/>
        <w:jc w:val="center"/>
      </w:pPr>
      <w:r w:rsidRPr="00391EA0">
        <w:rPr>
          <w:b/>
        </w:rPr>
        <w:t>Argued:</w:t>
      </w:r>
      <w:r w:rsidRPr="00F44172">
        <w:t xml:space="preserve"> April 3</w:t>
      </w:r>
      <w:r w:rsidRPr="00596232">
        <w:t>, 1962</w:t>
      </w:r>
    </w:p>
    <w:p w:rsidR="000C0D30" w:rsidRPr="00882E1D" w:rsidRDefault="000C0D30" w:rsidP="00391EA0">
      <w:pPr>
        <w:pStyle w:val="Basiccopysl"/>
        <w:jc w:val="center"/>
      </w:pPr>
      <w:r w:rsidRPr="00391EA0">
        <w:rPr>
          <w:b/>
        </w:rPr>
        <w:t>Decided:</w:t>
      </w:r>
      <w:r w:rsidRPr="00F44172">
        <w:t xml:space="preserve"> June 25</w:t>
      </w:r>
      <w:r w:rsidRPr="00596232">
        <w:t>, 1962</w:t>
      </w:r>
    </w:p>
    <w:p w:rsidR="000C0D30" w:rsidRPr="00F2075E" w:rsidRDefault="000C0D30" w:rsidP="00391EA0">
      <w:pPr>
        <w:pStyle w:val="Subhead2sl"/>
      </w:pPr>
      <w:r>
        <w:t>B</w:t>
      </w:r>
      <w:r w:rsidRPr="00F2075E">
        <w:t>ackground</w:t>
      </w:r>
    </w:p>
    <w:p w:rsidR="000C0D30" w:rsidRPr="00F2075E" w:rsidRDefault="000C0D3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rsidR="000C0D30" w:rsidRPr="00F2075E" w:rsidRDefault="000C0D3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rsidR="000C0D30" w:rsidRPr="00F2075E" w:rsidRDefault="000C0D30" w:rsidP="00391EA0">
      <w:pPr>
        <w:pStyle w:val="Subhead2sl"/>
      </w:pPr>
      <w:r w:rsidRPr="00F2075E">
        <w:t>Facts</w:t>
      </w:r>
    </w:p>
    <w:p w:rsidR="000C0D30" w:rsidRPr="00F2075E" w:rsidRDefault="000C0D3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rsidR="000C0D30" w:rsidRPr="00F2075E" w:rsidRDefault="000C0D30" w:rsidP="00391EA0">
      <w:pPr>
        <w:pStyle w:val="Subhead2sl"/>
      </w:pPr>
      <w:r w:rsidRPr="00F2075E">
        <w:t>Issue</w:t>
      </w:r>
    </w:p>
    <w:p w:rsidR="000C0D30" w:rsidRPr="00F2075E" w:rsidRDefault="000C0D30" w:rsidP="00391EA0">
      <w:pPr>
        <w:pStyle w:val="Basiccopysl"/>
      </w:pPr>
      <w:r w:rsidRPr="00F2075E">
        <w:t xml:space="preserve">Does the recitation of a prayer in public schools violate the Establishment Clause of the First Amendment? </w:t>
      </w:r>
    </w:p>
    <w:p w:rsidR="000C0D30" w:rsidRDefault="000C0D30" w:rsidP="00391EA0">
      <w:pPr>
        <w:pStyle w:val="Subhead2sl"/>
      </w:pPr>
      <w:bookmarkStart w:id="0" w:name="_GoBack"/>
      <w:r>
        <w:br w:type="page"/>
      </w:r>
    </w:p>
    <w:bookmarkEnd w:id="0"/>
    <w:p w:rsidR="000C0D30" w:rsidRPr="00F2075E" w:rsidRDefault="000C0D30" w:rsidP="00391EA0">
      <w:pPr>
        <w:pStyle w:val="Subhead2sl"/>
      </w:pPr>
      <w:r w:rsidRPr="00F2075E">
        <w:lastRenderedPageBreak/>
        <w:t xml:space="preserve">Constitutional </w:t>
      </w:r>
      <w:r>
        <w:t>Amendment</w:t>
      </w:r>
      <w:r w:rsidRPr="00F2075E">
        <w:t xml:space="preserve"> and </w:t>
      </w:r>
      <w:r>
        <w:t xml:space="preserve">Supreme Court </w:t>
      </w:r>
      <w:r w:rsidRPr="00F2075E">
        <w:t>Precedents</w:t>
      </w:r>
    </w:p>
    <w:p w:rsidR="000C0D30" w:rsidRPr="00391EA0" w:rsidRDefault="000C0D30" w:rsidP="00391EA0">
      <w:pPr>
        <w:pStyle w:val="Bulletsl"/>
        <w:spacing w:before="240" w:line="276" w:lineRule="auto"/>
        <w:rPr>
          <w:b/>
        </w:rPr>
      </w:pPr>
      <w:r>
        <w:rPr>
          <w:b/>
        </w:rPr>
        <w:t xml:space="preserve">First Amendment to the </w:t>
      </w:r>
      <w:r w:rsidRPr="00391EA0">
        <w:rPr>
          <w:b/>
        </w:rPr>
        <w:t xml:space="preserve">U.S. Constitution </w:t>
      </w:r>
    </w:p>
    <w:p w:rsidR="000C0D30" w:rsidRDefault="000C0D3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rsidR="000C0D30" w:rsidRPr="00F2075E" w:rsidRDefault="000C0D30" w:rsidP="00391EA0">
      <w:pPr>
        <w:pStyle w:val="Bulletsl"/>
        <w:spacing w:before="240" w:line="276" w:lineRule="auto"/>
      </w:pPr>
      <w:r w:rsidRPr="00391EA0">
        <w:rPr>
          <w:b/>
          <w:i/>
        </w:rPr>
        <w:t>West Virginia State Board of Education v. Barnette</w:t>
      </w:r>
      <w:r w:rsidRPr="00391EA0">
        <w:rPr>
          <w:b/>
        </w:rPr>
        <w:t xml:space="preserve"> (1943)</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rsidR="000C0D30" w:rsidRPr="00391EA0" w:rsidRDefault="000C0D30" w:rsidP="00391EA0">
      <w:pPr>
        <w:pStyle w:val="Bulletsl"/>
        <w:spacing w:before="240" w:line="276" w:lineRule="auto"/>
        <w:rPr>
          <w:b/>
          <w:i/>
        </w:rPr>
      </w:pPr>
      <w:r w:rsidRPr="00391EA0">
        <w:rPr>
          <w:b/>
          <w:i/>
        </w:rPr>
        <w:t xml:space="preserve">McCollum v. Board of Education </w:t>
      </w:r>
      <w:r w:rsidRPr="00391EA0">
        <w:rPr>
          <w:b/>
        </w:rPr>
        <w:t>(1948)</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rsidR="000C0D30" w:rsidRPr="00F2075E" w:rsidRDefault="000C0D30" w:rsidP="00391EA0">
      <w:pPr>
        <w:pStyle w:val="Subhead2sl"/>
      </w:pPr>
      <w:r w:rsidRPr="00F2075E">
        <w:t>Arguments for Engel</w:t>
      </w:r>
      <w:r>
        <w:t xml:space="preserve"> (petitioner)</w:t>
      </w:r>
    </w:p>
    <w:p w:rsidR="000C0D30" w:rsidRPr="00882E1D" w:rsidRDefault="000C0D3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rsidR="000C0D30" w:rsidRPr="00882E1D" w:rsidRDefault="000C0D3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rsidR="000C0D30" w:rsidRPr="004C64A1" w:rsidRDefault="000C0D3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rsidR="000C0D30" w:rsidRPr="004C64A1" w:rsidRDefault="000C0D30" w:rsidP="00391EA0">
      <w:pPr>
        <w:pStyle w:val="Bulletsl"/>
        <w:spacing w:line="276" w:lineRule="auto"/>
      </w:pPr>
      <w:r w:rsidRPr="004C64A1">
        <w:lastRenderedPageBreak/>
        <w:t xml:space="preserve">Although the prayer is voluntary, few parents or students would choose not to participate because students would be singled out for their religious </w:t>
      </w:r>
      <w:r>
        <w:t xml:space="preserve">(or non-religious) </w:t>
      </w:r>
      <w:r w:rsidRPr="004C64A1">
        <w:t xml:space="preserve">beliefs. </w:t>
      </w:r>
    </w:p>
    <w:p w:rsidR="000C0D30" w:rsidRPr="004C64A1" w:rsidRDefault="000C0D3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rsidR="000C0D30" w:rsidRPr="00F2075E" w:rsidRDefault="000C0D30" w:rsidP="00391EA0">
      <w:pPr>
        <w:pStyle w:val="Subhead2sl"/>
      </w:pPr>
      <w:r w:rsidRPr="00F2075E">
        <w:t>Arguments for Vitale</w:t>
      </w:r>
      <w:r>
        <w:t xml:space="preserve"> (respondent)</w:t>
      </w:r>
    </w:p>
    <w:p w:rsidR="000C0D30" w:rsidRPr="00391EA0" w:rsidRDefault="000C0D30" w:rsidP="00391EA0">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proofErr w:type="gramStart"/>
      <w:r>
        <w:t>s</w:t>
      </w:r>
      <w:r w:rsidRPr="00391EA0">
        <w:t xml:space="preserve">upreme </w:t>
      </w:r>
      <w:r>
        <w:t>b</w:t>
      </w:r>
      <w:r w:rsidRPr="00391EA0">
        <w:t>eing</w:t>
      </w:r>
      <w:proofErr w:type="gramEnd"/>
      <w:r w:rsidRPr="00391EA0">
        <w:t xml:space="preserve"> or God. In the Declaration of Independence, there are four references to the </w:t>
      </w:r>
      <w:r>
        <w:t>c</w:t>
      </w:r>
      <w:r w:rsidRPr="00391EA0">
        <w:t xml:space="preserve">reator who endowed humans with “unalienable rights.” Congress opens its session with a prayer, and presidents often conclude speeches with “God bless the United States of America.” </w:t>
      </w:r>
    </w:p>
    <w:p w:rsidR="000C0D30" w:rsidRPr="00391EA0" w:rsidRDefault="000C0D30" w:rsidP="00391EA0">
      <w:pPr>
        <w:pStyle w:val="Bulletsl"/>
        <w:spacing w:line="276" w:lineRule="auto"/>
      </w:pPr>
      <w:r w:rsidRPr="00391EA0">
        <w:t>The New York schools’ prayer is a</w:t>
      </w:r>
      <w:r>
        <w:t xml:space="preserve"> declaration</w:t>
      </w:r>
      <w:r w:rsidRPr="00391EA0">
        <w:t xml:space="preserve"> of faith. It is non-denominational and does not imply preference of any one religion over others. </w:t>
      </w:r>
    </w:p>
    <w:p w:rsidR="000C0D30" w:rsidRPr="00391EA0" w:rsidRDefault="000C0D3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rsidR="000C0D30" w:rsidRPr="00391EA0" w:rsidRDefault="000C0D30" w:rsidP="00391EA0">
      <w:pPr>
        <w:pStyle w:val="Bulletsl"/>
        <w:spacing w:line="276" w:lineRule="auto"/>
      </w:pPr>
      <w:r w:rsidRPr="00391EA0">
        <w:t xml:space="preserve">The New York Regents prayer is voluntary, not mandatory. Any child could remain silent or be excused by parental request with principal approval. </w:t>
      </w:r>
    </w:p>
    <w:p w:rsidR="000C0D30" w:rsidRPr="00391EA0" w:rsidRDefault="000C0D30" w:rsidP="00391EA0">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the Supreme Court did not strike references to God down as violations of the First Amendment.</w:t>
      </w:r>
    </w:p>
    <w:p w:rsidR="000C0D30" w:rsidRPr="00F2075E" w:rsidRDefault="000C0D30" w:rsidP="00391EA0">
      <w:pPr>
        <w:pStyle w:val="Subhead2sl"/>
      </w:pPr>
      <w:r w:rsidRPr="00F2075E">
        <w:t xml:space="preserve">Decision </w:t>
      </w:r>
    </w:p>
    <w:p w:rsidR="000C0D30" w:rsidRPr="00F2075E" w:rsidRDefault="000C0D30" w:rsidP="00391EA0">
      <w:pPr>
        <w:pStyle w:val="Basiccopysl"/>
      </w:pPr>
      <w:r w:rsidRPr="00F2075E">
        <w:t>The Supreme Court ruled</w:t>
      </w:r>
      <w:r>
        <w:t>,</w:t>
      </w:r>
      <w:r w:rsidRPr="00F2075E">
        <w:t xml:space="preserve"> 6</w:t>
      </w:r>
      <w:r>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Stewart dissented.</w:t>
      </w:r>
    </w:p>
    <w:p w:rsidR="000C0D30" w:rsidRPr="004C64A1" w:rsidRDefault="000C0D30" w:rsidP="00391EA0">
      <w:pPr>
        <w:pStyle w:val="Subhead3sl"/>
      </w:pPr>
      <w:r w:rsidRPr="004C64A1">
        <w:t>Majority</w:t>
      </w:r>
    </w:p>
    <w:p w:rsidR="000C0D30" w:rsidRDefault="000C0D30" w:rsidP="00391EA0">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w:t>
      </w:r>
      <w:r>
        <w:rPr>
          <w:shd w:val="clear" w:color="auto" w:fill="FFFFFF"/>
        </w:rPr>
        <w:lastRenderedPageBreak/>
        <w:t xml:space="preserve">explained that, while the most obvious effect of the Establishment Clause was to prevent the government from setting up a particular religious sect of church as the “official” church, its underlying objective is broader: </w:t>
      </w:r>
    </w:p>
    <w:p w:rsidR="000C0D30" w:rsidRDefault="000C0D3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rsidR="000C0D30" w:rsidRDefault="000C0D3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rsidR="000C0D30" w:rsidRPr="00F2075E" w:rsidRDefault="000C0D30" w:rsidP="00391EA0">
      <w:pPr>
        <w:pStyle w:val="Subhead3sl"/>
      </w:pPr>
      <w:r w:rsidRPr="00F2075E">
        <w:t>Dissent</w:t>
      </w:r>
    </w:p>
    <w:p w:rsidR="000C0D30" w:rsidRPr="00391EA0" w:rsidRDefault="000C0D3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p w:rsidR="000C0D30" w:rsidRDefault="000C0D30" w:rsidP="00F42CDF">
      <w:pPr>
        <w:pStyle w:val="Title2sl"/>
        <w:jc w:val="center"/>
        <w:rPr>
          <w:i/>
        </w:rPr>
        <w:sectPr w:rsidR="000C0D30" w:rsidSect="000C0D30">
          <w:headerReference w:type="default" r:id="rId17"/>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Pr>
          <w:i/>
        </w:rPr>
        <w:lastRenderedPageBreak/>
        <w:t>Gideon v. Wainwright (1963)</w:t>
      </w:r>
    </w:p>
    <w:p w:rsidR="000C0D30" w:rsidRPr="00F42CDF" w:rsidRDefault="000C0D30" w:rsidP="00F42CDF">
      <w:pPr>
        <w:pStyle w:val="Basiccopysl"/>
        <w:spacing w:after="0"/>
        <w:jc w:val="center"/>
      </w:pPr>
      <w:r w:rsidRPr="00F42CDF">
        <w:rPr>
          <w:b/>
        </w:rPr>
        <w:t>Argued:</w:t>
      </w:r>
      <w:r w:rsidRPr="00F42CDF">
        <w:t xml:space="preserve"> </w:t>
      </w:r>
      <w:r>
        <w:t>January 15, 1963</w:t>
      </w:r>
    </w:p>
    <w:p w:rsidR="000C0D30" w:rsidRPr="00F42CDF" w:rsidRDefault="000C0D30" w:rsidP="00F42CDF">
      <w:pPr>
        <w:pStyle w:val="Basiccopysl"/>
        <w:jc w:val="center"/>
      </w:pPr>
      <w:r w:rsidRPr="00F42CDF">
        <w:rPr>
          <w:b/>
        </w:rPr>
        <w:t>Decided:</w:t>
      </w:r>
      <w:r w:rsidRPr="00F42CDF">
        <w:t xml:space="preserve"> </w:t>
      </w:r>
      <w:r>
        <w:t>March 16, 1963</w:t>
      </w:r>
    </w:p>
    <w:p w:rsidR="000C0D30" w:rsidRPr="00ED3234" w:rsidRDefault="000C0D30" w:rsidP="00A06F2D">
      <w:pPr>
        <w:pStyle w:val="Subhead2sl"/>
      </w:pPr>
      <w:r w:rsidRPr="00ED3234">
        <w:t>Background</w:t>
      </w:r>
    </w:p>
    <w:p w:rsidR="000C0D30" w:rsidRDefault="000C0D30"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to defendants charged with crimes in state courts. </w:t>
      </w:r>
    </w:p>
    <w:p w:rsidR="000C0D30" w:rsidRDefault="000C0D30" w:rsidP="00A06F2D">
      <w:pPr>
        <w:pStyle w:val="Basiccopysl"/>
      </w:pPr>
      <w:r>
        <w:t xml:space="preserve">The 14th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14th Amendment) that they must also apply to state governments. In 1963, the Supreme Court had to decide whether, in criminal cases, the right to counsel paid for by the government was one of those fundamental rights. </w:t>
      </w:r>
    </w:p>
    <w:p w:rsidR="000C0D30" w:rsidRPr="00ED3234" w:rsidRDefault="000C0D30" w:rsidP="00A06F2D">
      <w:pPr>
        <w:pStyle w:val="Subhead2sl"/>
      </w:pPr>
      <w:r w:rsidRPr="00ED3234">
        <w:t>Facts</w:t>
      </w:r>
    </w:p>
    <w:p w:rsidR="000C0D30" w:rsidRDefault="000C0D30" w:rsidP="00A06F2D">
      <w:pPr>
        <w:pStyle w:val="Basiccopysl"/>
        <w:rPr>
          <w:shd w:val="clear" w:color="auto" w:fill="FFFFFF"/>
        </w:rPr>
      </w:pPr>
      <w:r w:rsidRPr="003F3D2D">
        <w:rPr>
          <w:shd w:val="clear" w:color="auto" w:fill="FFFFFF"/>
        </w:rPr>
        <w:t>In 1961, a burglary occurred at the Bay Harbor Pool Room in Panama City, Florida.</w:t>
      </w:r>
      <w:r>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Pr>
          <w:shd w:val="clear" w:color="auto" w:fill="FFFFFF"/>
        </w:rPr>
        <w:br w:type="page"/>
      </w:r>
    </w:p>
    <w:p w:rsidR="000C0D30" w:rsidRPr="00ED3234" w:rsidRDefault="000C0D30" w:rsidP="00A06F2D">
      <w:pPr>
        <w:pStyle w:val="Subhead2sl"/>
      </w:pPr>
      <w:r w:rsidRPr="00ED3234">
        <w:lastRenderedPageBreak/>
        <w:t>Issue</w:t>
      </w:r>
    </w:p>
    <w:p w:rsidR="000C0D30" w:rsidRDefault="000C0D30"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rsidR="000C0D30" w:rsidRDefault="000C0D30" w:rsidP="000B53C1">
      <w:pPr>
        <w:pStyle w:val="Heading2"/>
      </w:pPr>
      <w:r w:rsidRPr="00ED3234">
        <w:t xml:space="preserve">Constitutional </w:t>
      </w:r>
      <w:r>
        <w:t>Amendments</w:t>
      </w:r>
      <w:r w:rsidRPr="00ED3234">
        <w:t xml:space="preserve"> and </w:t>
      </w:r>
      <w:r>
        <w:t xml:space="preserve">Supreme Court </w:t>
      </w:r>
      <w:r w:rsidRPr="00ED3234">
        <w:t>Precedents</w:t>
      </w:r>
    </w:p>
    <w:p w:rsidR="000C0D30" w:rsidRPr="00A06F2D" w:rsidRDefault="000C0D30" w:rsidP="000C0D30">
      <w:pPr>
        <w:pStyle w:val="Bulletsl"/>
        <w:spacing w:before="240" w:line="276" w:lineRule="auto"/>
        <w:rPr>
          <w:rFonts w:asciiTheme="minorHAnsi" w:hAnsiTheme="minorHAnsi"/>
          <w:b/>
          <w:sz w:val="22"/>
          <w:szCs w:val="22"/>
        </w:rPr>
      </w:pPr>
      <w:r w:rsidRPr="00A06F2D">
        <w:rPr>
          <w:b/>
        </w:rPr>
        <w:t>U.S. Constitution, Amendment VI</w:t>
      </w:r>
    </w:p>
    <w:p w:rsidR="000C0D30" w:rsidRDefault="000C0D30" w:rsidP="00A06F2D">
      <w:pPr>
        <w:pStyle w:val="Basiccopysl"/>
        <w:ind w:left="720"/>
      </w:pPr>
      <w:r w:rsidRPr="00ED3234">
        <w:t>“In all criminal prosecutions, the accused shall enjoy the right . . . to have the Assistance of Counsel for his defense.”</w:t>
      </w:r>
    </w:p>
    <w:p w:rsidR="000C0D30" w:rsidRPr="00A06F2D" w:rsidRDefault="000C0D30" w:rsidP="000C0D30">
      <w:pPr>
        <w:pStyle w:val="Bulletsl"/>
        <w:spacing w:before="240" w:line="276" w:lineRule="auto"/>
        <w:rPr>
          <w:b/>
        </w:rPr>
      </w:pPr>
      <w:r w:rsidRPr="00A06F2D">
        <w:rPr>
          <w:b/>
        </w:rPr>
        <w:t>U.S. Constitution, Amendment XIV</w:t>
      </w:r>
    </w:p>
    <w:p w:rsidR="000C0D30" w:rsidRPr="00A06F2D" w:rsidRDefault="000C0D30" w:rsidP="00A06F2D">
      <w:pPr>
        <w:pStyle w:val="Basiccopysl"/>
        <w:ind w:left="720"/>
      </w:pPr>
      <w:r w:rsidRPr="00A06F2D">
        <w:t>“…nor shall any State deprive any person of life, liberty, or property, without due process of law….”</w:t>
      </w:r>
    </w:p>
    <w:p w:rsidR="000C0D30" w:rsidRPr="00A06F2D" w:rsidRDefault="000C0D30" w:rsidP="000C0D30">
      <w:pPr>
        <w:pStyle w:val="Bulletsl"/>
        <w:spacing w:before="240" w:line="276" w:lineRule="auto"/>
        <w:rPr>
          <w:b/>
        </w:rPr>
      </w:pPr>
      <w:r w:rsidRPr="00A06F2D">
        <w:rPr>
          <w:b/>
          <w:i/>
        </w:rPr>
        <w:t>Powell v. Alabama</w:t>
      </w:r>
      <w:r w:rsidRPr="00A06F2D">
        <w:rPr>
          <w:b/>
        </w:rPr>
        <w:t xml:space="preserve"> (1932)</w:t>
      </w:r>
      <w:r>
        <w:rPr>
          <w:b/>
        </w:rPr>
        <w:t xml:space="preserve"> </w:t>
      </w:r>
    </w:p>
    <w:p w:rsidR="000C0D30" w:rsidRPr="00A06F2D" w:rsidRDefault="000C0D30" w:rsidP="00A06F2D">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rsidR="000C0D30" w:rsidRPr="00A06F2D" w:rsidRDefault="000C0D30" w:rsidP="000C0D30">
      <w:pPr>
        <w:pStyle w:val="Bulletsl"/>
        <w:spacing w:before="240" w:line="276" w:lineRule="auto"/>
        <w:rPr>
          <w:b/>
        </w:rPr>
      </w:pPr>
      <w:r w:rsidRPr="00A06F2D">
        <w:rPr>
          <w:b/>
          <w:i/>
        </w:rPr>
        <w:t>Johnson v. Zerbst</w:t>
      </w:r>
      <w:r w:rsidRPr="00A06F2D">
        <w:rPr>
          <w:b/>
        </w:rPr>
        <w:t xml:space="preserve"> (1938)</w:t>
      </w:r>
      <w:r>
        <w:rPr>
          <w:b/>
        </w:rPr>
        <w:t xml:space="preserve"> </w:t>
      </w:r>
    </w:p>
    <w:p w:rsidR="000C0D30" w:rsidRPr="00A06F2D" w:rsidRDefault="000C0D30"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rsidR="000C0D30" w:rsidRPr="00A06F2D" w:rsidRDefault="000C0D30" w:rsidP="000C0D30">
      <w:pPr>
        <w:pStyle w:val="Bulletsl"/>
        <w:spacing w:before="240" w:line="276" w:lineRule="auto"/>
        <w:rPr>
          <w:b/>
        </w:rPr>
      </w:pPr>
      <w:r w:rsidRPr="00A06F2D">
        <w:rPr>
          <w:b/>
          <w:i/>
        </w:rPr>
        <w:t>Betts v. Brady</w:t>
      </w:r>
      <w:r w:rsidRPr="00A06F2D">
        <w:rPr>
          <w:b/>
        </w:rPr>
        <w:t xml:space="preserve"> (1942)</w:t>
      </w:r>
      <w:r>
        <w:rPr>
          <w:b/>
        </w:rPr>
        <w:t xml:space="preserve"> </w:t>
      </w:r>
    </w:p>
    <w:p w:rsidR="000C0D30" w:rsidRPr="00ED3234" w:rsidRDefault="000C0D30"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t>14th</w:t>
      </w:r>
      <w:r w:rsidRPr="003F3D2D">
        <w:t xml:space="preserve"> </w:t>
      </w:r>
      <w:r>
        <w:t>A</w:t>
      </w:r>
      <w:r w:rsidRPr="003F3D2D">
        <w:t>mendment did not require states to provide counsel to the poor in non</w:t>
      </w:r>
      <w:r>
        <w:t>-death-penalty</w:t>
      </w:r>
      <w:r w:rsidRPr="003F3D2D">
        <w:t xml:space="preserve"> cases.</w:t>
      </w:r>
    </w:p>
    <w:p w:rsidR="000C0D30" w:rsidRDefault="000C0D30" w:rsidP="00A06F2D">
      <w:pPr>
        <w:pStyle w:val="Subhead2sl"/>
      </w:pPr>
      <w:r>
        <w:br w:type="page"/>
      </w:r>
    </w:p>
    <w:p w:rsidR="000C0D30" w:rsidRPr="00ED3234" w:rsidRDefault="000C0D30" w:rsidP="00A06F2D">
      <w:pPr>
        <w:pStyle w:val="Subhead2sl"/>
      </w:pPr>
      <w:r w:rsidRPr="00ED3234">
        <w:lastRenderedPageBreak/>
        <w:t>Arguments for Gideon</w:t>
      </w:r>
      <w:r>
        <w:t xml:space="preserve"> (petitioner)</w:t>
      </w:r>
    </w:p>
    <w:p w:rsidR="000C0D30" w:rsidRPr="003F3D2D" w:rsidRDefault="000C0D30" w:rsidP="000C0D30">
      <w:pPr>
        <w:pStyle w:val="Bulletsl"/>
        <w:spacing w:line="276" w:lineRule="auto"/>
      </w:pPr>
      <w:r>
        <w:t xml:space="preserve">We cannot assure fair trials unless everyone has the assistance of a lawyer. </w:t>
      </w:r>
      <w:r w:rsidRPr="003F3D2D">
        <w:t xml:space="preserve">The average person does not have the knowledge, resources, and skill required to </w:t>
      </w:r>
      <w:r>
        <w:t>provide an adequate legal defense</w:t>
      </w:r>
      <w:r w:rsidRPr="003F3D2D">
        <w:t xml:space="preserve"> themselves.</w:t>
      </w:r>
    </w:p>
    <w:p w:rsidR="000C0D30" w:rsidRPr="003F3D2D" w:rsidRDefault="000C0D30" w:rsidP="000C0D30">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14th</w:t>
      </w:r>
      <w:r w:rsidRPr="003F3D2D">
        <w:t xml:space="preserve"> </w:t>
      </w:r>
      <w:r>
        <w:t>A</w:t>
      </w:r>
      <w:r w:rsidRPr="003F3D2D">
        <w:t>mendment.</w:t>
      </w:r>
      <w:r>
        <w:t xml:space="preserve"> Even non-capital crimes can result in long prison sentences, which is depriving someone of their liberty. There is no “trivial” criminal case because someone’s liberty is at stake. </w:t>
      </w:r>
    </w:p>
    <w:p w:rsidR="000C0D30" w:rsidRPr="003F3D2D" w:rsidRDefault="000C0D30" w:rsidP="000C0D30">
      <w:pPr>
        <w:pStyle w:val="Bulletsl"/>
        <w:spacing w:line="276" w:lineRule="auto"/>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rsidR="000C0D30" w:rsidRPr="00E06562" w:rsidRDefault="000C0D30" w:rsidP="000C0D30">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rsidR="000C0D30" w:rsidRPr="00A06F2D" w:rsidRDefault="000C0D30" w:rsidP="00A06F2D">
      <w:pPr>
        <w:pStyle w:val="Subhead2sl"/>
      </w:pPr>
      <w:r w:rsidRPr="00A06F2D">
        <w:t>Arguments for Wainwright (respondent)</w:t>
      </w:r>
    </w:p>
    <w:p w:rsidR="000C0D30" w:rsidRPr="003F3D2D" w:rsidRDefault="000C0D30" w:rsidP="000C0D30">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t>that</w:t>
      </w:r>
      <w:r w:rsidRPr="003F3D2D">
        <w:t xml:space="preserve"> show he would be denied a fair trial without counsel. Gideon did not claim such circumstances.</w:t>
      </w:r>
    </w:p>
    <w:p w:rsidR="000C0D30" w:rsidRPr="003F3D2D" w:rsidRDefault="000C0D30" w:rsidP="000C0D30">
      <w:pPr>
        <w:pStyle w:val="Bulletsl"/>
        <w:spacing w:line="276" w:lineRule="auto"/>
      </w:pPr>
      <w:r w:rsidRPr="003F3D2D">
        <w:t xml:space="preserve">The U.S.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rsidR="000C0D30" w:rsidRPr="003F3D2D" w:rsidRDefault="000C0D30" w:rsidP="000C0D30">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rsidR="000C0D30" w:rsidRPr="003F3D2D" w:rsidRDefault="000C0D30" w:rsidP="000C0D30">
      <w:pPr>
        <w:pStyle w:val="Bulletsl"/>
        <w:spacing w:line="276" w:lineRule="auto"/>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rsidR="000C0D30" w:rsidRPr="003F3D2D" w:rsidRDefault="000C0D30" w:rsidP="000C0D30">
      <w:pPr>
        <w:pStyle w:val="Bulletsl"/>
        <w:spacing w:line="276" w:lineRule="auto"/>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rsidR="000C0D30" w:rsidRPr="00ED3234" w:rsidRDefault="000C0D30" w:rsidP="00A06F2D">
      <w:pPr>
        <w:pStyle w:val="Subhead2sl"/>
      </w:pPr>
      <w:r w:rsidRPr="00ED3234">
        <w:t>Decision</w:t>
      </w:r>
    </w:p>
    <w:p w:rsidR="000C0D30" w:rsidRDefault="000C0D30"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rsidR="000C0D30" w:rsidRDefault="000C0D30"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rsidR="000C0D30" w:rsidRDefault="000C0D30"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rsidR="000C0D30" w:rsidRDefault="000C0D30"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 In fact the decision only applied to criminal defendants charged with felonies. In 1972, the Court decided the case of </w:t>
      </w:r>
      <w:r w:rsidRPr="00F3300D">
        <w:rPr>
          <w:i/>
        </w:rPr>
        <w:t>Argersinger v. Hamlin</w:t>
      </w:r>
      <w:r>
        <w:rPr>
          <w:i/>
        </w:rPr>
        <w:t>,</w:t>
      </w:r>
      <w:r>
        <w:t xml:space="preserve"> which extended the </w:t>
      </w:r>
      <w:r w:rsidRPr="00F3300D">
        <w:rPr>
          <w:i/>
        </w:rPr>
        <w:t>Gideon</w:t>
      </w:r>
      <w:r>
        <w:t xml:space="preserve"> rule so that indigent misdemeanants could not be imprisoned unless they had received free legal counsel.</w:t>
      </w:r>
    </w:p>
    <w:p w:rsidR="000C0D30" w:rsidRPr="003F3D2D" w:rsidRDefault="000C0D30" w:rsidP="00A06F2D">
      <w:pPr>
        <w:pStyle w:val="Basiccopysl"/>
        <w:rPr>
          <w:rFonts w:ascii="Times New Roman" w:hAnsi="Times New Roman"/>
        </w:rPr>
      </w:pPr>
      <w:r>
        <w:t xml:space="preserve"> </w:t>
      </w:r>
    </w:p>
    <w:p w:rsidR="000C0D30" w:rsidRPr="00F42CDF" w:rsidRDefault="000C0D30" w:rsidP="00F42CDF"/>
    <w:p w:rsidR="000C0D30" w:rsidRDefault="000C0D30" w:rsidP="00CF236A">
      <w:pPr>
        <w:pStyle w:val="Title2sl"/>
        <w:sectPr w:rsidR="000C0D30" w:rsidSect="000C0D30">
          <w:headerReference w:type="default" r:id="rId18"/>
          <w:footnotePr>
            <w:numFmt w:val="chicago"/>
          </w:footnotePr>
          <w:pgSz w:w="12240" w:h="15840"/>
          <w:pgMar w:top="1440" w:right="1440" w:bottom="1440" w:left="1440" w:header="720" w:footer="720" w:gutter="0"/>
          <w:cols w:space="720"/>
          <w:docGrid w:linePitch="360"/>
        </w:sectPr>
      </w:pPr>
    </w:p>
    <w:p w:rsidR="000C0D30" w:rsidRPr="000C0D30" w:rsidRDefault="000C0D30" w:rsidP="000C0D30">
      <w:pPr>
        <w:pStyle w:val="Title2sl"/>
        <w:jc w:val="center"/>
        <w:rPr>
          <w:i/>
          <w:color w:val="000000"/>
        </w:rPr>
      </w:pPr>
      <w:r w:rsidRPr="000C0D30">
        <w:rPr>
          <w:i/>
        </w:rPr>
        <w:lastRenderedPageBreak/>
        <w:t>Marbury</w:t>
      </w:r>
      <w:r w:rsidRPr="000C0D30">
        <w:rPr>
          <w:i/>
          <w:color w:val="000000"/>
        </w:rPr>
        <w:t xml:space="preserve"> v. </w:t>
      </w:r>
      <w:r w:rsidRPr="000C0D30">
        <w:rPr>
          <w:i/>
        </w:rPr>
        <w:t xml:space="preserve">Madison </w:t>
      </w:r>
      <w:r w:rsidRPr="000C0D30">
        <w:t>(1803)</w:t>
      </w:r>
    </w:p>
    <w:p w:rsidR="000C0D30" w:rsidRDefault="000C0D30" w:rsidP="00CF236A">
      <w:pPr>
        <w:pStyle w:val="Basiccopysl"/>
        <w:spacing w:after="0"/>
        <w:jc w:val="center"/>
      </w:pPr>
      <w:r w:rsidRPr="00CF236A">
        <w:rPr>
          <w:b/>
        </w:rPr>
        <w:t>Argued:</w:t>
      </w:r>
      <w:r>
        <w:t xml:space="preserve"> </w:t>
      </w:r>
      <w:r w:rsidRPr="00941FF9">
        <w:t>There</w:t>
      </w:r>
      <w:r w:rsidRPr="00941FF9">
        <w:rPr>
          <w:i/>
        </w:rPr>
        <w:t xml:space="preserve"> </w:t>
      </w:r>
      <w:r>
        <w:t>was no oral argument at the appeals stage in this case.</w:t>
      </w:r>
    </w:p>
    <w:p w:rsidR="000C0D30" w:rsidRDefault="000C0D30" w:rsidP="00CF236A">
      <w:pPr>
        <w:pStyle w:val="Basiccopysl"/>
        <w:jc w:val="center"/>
        <w:rPr>
          <w:b/>
        </w:rPr>
      </w:pPr>
      <w:r>
        <w:rPr>
          <w:b/>
        </w:rPr>
        <w:t>Decided</w:t>
      </w:r>
      <w:r>
        <w:t>: February 24, 1803</w:t>
      </w:r>
    </w:p>
    <w:p w:rsidR="000C0D30" w:rsidRDefault="000C0D30" w:rsidP="00CF236A">
      <w:pPr>
        <w:pStyle w:val="Subhead2sl"/>
      </w:pPr>
      <w:r>
        <w:t>Background</w:t>
      </w:r>
    </w:p>
    <w:p w:rsidR="000C0D30" w:rsidRDefault="000C0D30" w:rsidP="00CF236A">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rsidR="000C0D30" w:rsidRDefault="000C0D30" w:rsidP="00CF236A">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rsidR="000C0D30" w:rsidRPr="003A7263" w:rsidRDefault="000C0D30" w:rsidP="00CF236A">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couldn't take office until they actually had their commissions in hand.</w:t>
      </w:r>
    </w:p>
    <w:p w:rsidR="000C0D30" w:rsidRDefault="000C0D30" w:rsidP="00CF236A">
      <w:pPr>
        <w:pStyle w:val="Subhead2sl"/>
      </w:pPr>
      <w:r>
        <w:t>Facts</w:t>
      </w:r>
    </w:p>
    <w:p w:rsidR="000C0D30" w:rsidRDefault="000C0D30" w:rsidP="00CF236A">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rsidR="000C0D30" w:rsidRDefault="000C0D30" w:rsidP="00CF236A">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t>
      </w:r>
      <w:proofErr w:type="gramStart"/>
      <w:r>
        <w:t>weak.</w:t>
      </w:r>
      <w:proofErr w:type="gramEnd"/>
      <w:r>
        <w:t xml:space="preserve"> However, if they didn’t require the commission delivered, it could look like they were backing down </w:t>
      </w:r>
      <w:r>
        <w:lastRenderedPageBreak/>
        <w:t xml:space="preserve">out of fear. Chief Justice Marshall instead framed the case as a question about whether the Supreme Court even had the power to order the </w:t>
      </w:r>
      <w:r w:rsidRPr="0054240F">
        <w:t>writ of</w:t>
      </w:r>
      <w:r>
        <w:rPr>
          <w:i/>
        </w:rPr>
        <w:t xml:space="preserve"> mandamus.</w:t>
      </w:r>
    </w:p>
    <w:p w:rsidR="000C0D30" w:rsidRDefault="000C0D30" w:rsidP="00CF236A">
      <w:pPr>
        <w:pStyle w:val="Subhead2sl"/>
      </w:pPr>
      <w:r>
        <w:t>Issues</w:t>
      </w:r>
    </w:p>
    <w:p w:rsidR="000C0D30" w:rsidRDefault="000C0D30" w:rsidP="00CF236A">
      <w:pPr>
        <w:pStyle w:val="Basiccopysl"/>
      </w:pPr>
      <w:r>
        <w:t>Does Marbury have a right to his commission, and can he sue the federal government for it? Does the Supreme Court have the authority to order the delivery of the commission?</w:t>
      </w:r>
    </w:p>
    <w:p w:rsidR="000C0D30" w:rsidRDefault="000C0D30" w:rsidP="00CF236A">
      <w:pPr>
        <w:pStyle w:val="Subhead2sl"/>
      </w:pPr>
      <w:r>
        <w:t>Constitutional Clauses and Federal Law</w:t>
      </w:r>
    </w:p>
    <w:p w:rsidR="000C0D30" w:rsidRPr="00CF236A" w:rsidRDefault="000C0D30" w:rsidP="000C0D30">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rsidR="000C0D30" w:rsidRDefault="000C0D30" w:rsidP="00CF236A">
      <w:pPr>
        <w:pStyle w:val="Bulletsl"/>
        <w:numPr>
          <w:ilvl w:val="0"/>
          <w:numId w:val="0"/>
        </w:numPr>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0C0D30" w:rsidRPr="00CF236A" w:rsidRDefault="000C0D30" w:rsidP="000C0D30">
      <w:pPr>
        <w:pStyle w:val="Bulletsl"/>
        <w:spacing w:before="240" w:line="276" w:lineRule="auto"/>
        <w:rPr>
          <w:b/>
        </w:rPr>
      </w:pPr>
      <w:r w:rsidRPr="00CF236A">
        <w:rPr>
          <w:b/>
        </w:rPr>
        <w:t>The Judiciary Act of 1789</w:t>
      </w:r>
    </w:p>
    <w:p w:rsidR="000C0D30" w:rsidRDefault="000C0D30" w:rsidP="00CF236A">
      <w:pPr>
        <w:pStyle w:val="Bulletsl"/>
        <w:numPr>
          <w:ilvl w:val="0"/>
          <w:numId w:val="0"/>
        </w:numPr>
        <w:ind w:left="720"/>
      </w:pPr>
      <w:r>
        <w:t xml:space="preserve">This Act authorized the Supreme Court to “issue writs of </w:t>
      </w:r>
      <w:r w:rsidRPr="0054240F">
        <w:rPr>
          <w:i/>
        </w:rPr>
        <w:t>mandamus</w:t>
      </w:r>
      <w:r>
        <w:t xml:space="preserve"> … to persons holding office under the authority of the United States.” </w:t>
      </w:r>
    </w:p>
    <w:p w:rsidR="000C0D30" w:rsidRDefault="000C0D30" w:rsidP="00CF236A">
      <w:pPr>
        <w:pStyle w:val="Subhead2sl"/>
      </w:pPr>
      <w:r>
        <w:t>Arguments</w:t>
      </w:r>
    </w:p>
    <w:p w:rsidR="000C0D30" w:rsidRDefault="000C0D30" w:rsidP="00CF236A">
      <w:pPr>
        <w:pStyle w:val="Normal1"/>
        <w:shd w:val="clear" w:color="auto" w:fill="FFFFFF"/>
        <w:spacing w:after="0" w:line="240"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rsidR="000C0D30" w:rsidRDefault="000C0D30" w:rsidP="00CF236A">
      <w:pPr>
        <w:pStyle w:val="Subhead3sl"/>
      </w:pPr>
      <w:r>
        <w:t xml:space="preserve">Arguments for Marbury </w:t>
      </w:r>
    </w:p>
    <w:p w:rsidR="000C0D30" w:rsidRDefault="000C0D30" w:rsidP="000C0D30">
      <w:pPr>
        <w:pStyle w:val="Bulletsl"/>
        <w:spacing w:line="276" w:lineRule="auto"/>
      </w:pPr>
      <w:r>
        <w:t>Marbury’s commission was valid, whether it was physically delivered or not before the end of President Adams’ term, because the president had ordered it.</w:t>
      </w:r>
    </w:p>
    <w:p w:rsidR="000C0D30" w:rsidRDefault="000C0D30" w:rsidP="000C0D30">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rsidR="000C0D30" w:rsidRDefault="000C0D30" w:rsidP="000C0D30">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rsidR="000C0D30" w:rsidRDefault="000C0D30" w:rsidP="000C0D30">
      <w:pPr>
        <w:pStyle w:val="Bulletsl"/>
        <w:spacing w:line="276" w:lineRule="auto"/>
      </w:pPr>
      <w:r>
        <w:t>Article III states that Congress can make exceptions to which cases have original jurisdiction in the Courts. The case falls under original jurisdiction of the Supreme Court.</w:t>
      </w:r>
    </w:p>
    <w:p w:rsidR="000C0D30" w:rsidRDefault="000C0D30" w:rsidP="00CF236A">
      <w:pPr>
        <w:pStyle w:val="Subhead3sl"/>
      </w:pPr>
      <w:r>
        <w:t xml:space="preserve">Arguments for Madison </w:t>
      </w:r>
    </w:p>
    <w:p w:rsidR="000C0D30" w:rsidRPr="00CF236A" w:rsidRDefault="000C0D30" w:rsidP="000C0D30">
      <w:pPr>
        <w:pStyle w:val="Bulletsl"/>
        <w:spacing w:line="276" w:lineRule="auto"/>
      </w:pPr>
      <w:r w:rsidRPr="00CF236A">
        <w:t>The appointment of Marbury to his position was invalid because his commission was not delivered before the expiration of Adams’ term as president.</w:t>
      </w:r>
    </w:p>
    <w:p w:rsidR="000C0D30" w:rsidRPr="00CF236A" w:rsidRDefault="000C0D30" w:rsidP="000C0D30">
      <w:pPr>
        <w:pStyle w:val="Bulletsl"/>
        <w:spacing w:line="276" w:lineRule="auto"/>
      </w:pPr>
      <w:r w:rsidRPr="00CF236A">
        <w:lastRenderedPageBreak/>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rsidR="000C0D30" w:rsidRPr="00CF236A" w:rsidRDefault="000C0D30" w:rsidP="000C0D30">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rsidR="000C0D30" w:rsidRDefault="000C0D30" w:rsidP="00CF236A">
      <w:pPr>
        <w:pStyle w:val="Subhead2sl"/>
      </w:pPr>
      <w:r>
        <w:t>Decision</w:t>
      </w:r>
    </w:p>
    <w:p w:rsidR="000C0D30" w:rsidRDefault="000C0D30" w:rsidP="00CF236A">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rsidR="000C0D30" w:rsidRDefault="000C0D30" w:rsidP="00CF236A">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Pr="00DD4A70">
        <w:t xml:space="preserve">Thus the </w:t>
      </w:r>
      <w:r w:rsidRPr="0054240F">
        <w:t>Judiciary Act of 1789</w:t>
      </w:r>
      <w:r w:rsidRPr="00DD4A70">
        <w:t xml:space="preserve"> and the Constitution were in conflict with each other.</w:t>
      </w:r>
    </w:p>
    <w:p w:rsidR="000C0D30" w:rsidRDefault="000C0D30" w:rsidP="00CF236A">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his executive branch officials and departments. This is the principle of judicial review. The opinion said that it is “emphatically the province and duty of the judicial department to say what the law is.” </w:t>
      </w:r>
    </w:p>
    <w:p w:rsidR="000C0D30" w:rsidRDefault="000C0D30" w:rsidP="00CF236A">
      <w:pPr>
        <w:pStyle w:val="Basiccopysl"/>
      </w:pPr>
      <w:r>
        <w:t>T</w:t>
      </w:r>
      <w:r w:rsidRPr="00DD4A70">
        <w:t>his decision</w:t>
      </w:r>
      <w:r>
        <w:t xml:space="preserve"> </w:t>
      </w:r>
      <w:r w:rsidRPr="00DD4A70">
        <w:t xml:space="preserve">established the judicial branch as an equal partner with the executive and legislative branches within the </w:t>
      </w:r>
      <w:r>
        <w:t>government, with the power to rule actions of the other branches unconstitutional. The ruling said</w:t>
      </w:r>
      <w:r w:rsidRPr="00DD4A70">
        <w:t xml:space="preserve"> that the Constitution is the </w:t>
      </w:r>
      <w:r>
        <w:t>s</w:t>
      </w:r>
      <w:r w:rsidRPr="00DD4A70">
        <w:t xml:space="preserve">upreme </w:t>
      </w:r>
      <w:r>
        <w:t>l</w:t>
      </w:r>
      <w:r w:rsidRPr="00DD4A70">
        <w:t xml:space="preserve">aw of the </w:t>
      </w:r>
      <w:r>
        <w:t>l</w:t>
      </w:r>
      <w:r w:rsidRPr="00DD4A70">
        <w:t>and and established the Supreme Court as the final authority for interpreting it.</w:t>
      </w:r>
    </w:p>
    <w:p w:rsidR="000C0D30" w:rsidRPr="00DD4A70" w:rsidRDefault="000C0D30" w:rsidP="00CF236A">
      <w:pPr>
        <w:pStyle w:val="Normal1"/>
        <w:shd w:val="clear" w:color="auto" w:fill="FFFFFF"/>
        <w:spacing w:after="0" w:line="240" w:lineRule="auto"/>
        <w:rPr>
          <w:rFonts w:ascii="Garamond" w:eastAsia="Garamond" w:hAnsi="Garamond" w:cs="Garamond"/>
          <w:sz w:val="24"/>
          <w:szCs w:val="24"/>
        </w:rPr>
      </w:pPr>
    </w:p>
    <w:p w:rsidR="000C0D30" w:rsidRDefault="000C0D30" w:rsidP="00F42CDF">
      <w:pPr>
        <w:pStyle w:val="Title2sl"/>
        <w:jc w:val="center"/>
        <w:rPr>
          <w:i/>
        </w:rPr>
        <w:sectPr w:rsidR="000C0D30" w:rsidSect="000C0D30">
          <w:headerReference w:type="default" r:id="rId19"/>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sidRPr="00F42CDF">
        <w:rPr>
          <w:i/>
        </w:rPr>
        <w:lastRenderedPageBreak/>
        <w:t>McCulloch</w:t>
      </w:r>
      <w:r w:rsidRPr="00F42CDF">
        <w:rPr>
          <w:i/>
          <w:color w:val="000000"/>
        </w:rPr>
        <w:t xml:space="preserve"> v. </w:t>
      </w:r>
      <w:r w:rsidRPr="00F42CDF">
        <w:rPr>
          <w:i/>
        </w:rPr>
        <w:t>Maryland</w:t>
      </w:r>
      <w:r>
        <w:rPr>
          <w:i/>
        </w:rPr>
        <w:t xml:space="preserve"> </w:t>
      </w:r>
      <w:r w:rsidRPr="008B10D9">
        <w:rPr>
          <w:i/>
        </w:rPr>
        <w:t>(1819)</w:t>
      </w:r>
    </w:p>
    <w:p w:rsidR="000C0D30" w:rsidRPr="00F42CDF" w:rsidRDefault="000C0D30" w:rsidP="00F42CDF">
      <w:pPr>
        <w:pStyle w:val="Basiccopysl"/>
        <w:spacing w:after="0"/>
        <w:jc w:val="center"/>
      </w:pPr>
      <w:r w:rsidRPr="00F42CDF">
        <w:rPr>
          <w:b/>
        </w:rPr>
        <w:t>Argued:</w:t>
      </w:r>
      <w:r w:rsidRPr="00F42CDF">
        <w:t xml:space="preserve"> February 22</w:t>
      </w:r>
      <w:r>
        <w:t>–</w:t>
      </w:r>
      <w:r w:rsidRPr="00F42CDF">
        <w:t>26, 1819</w:t>
      </w:r>
    </w:p>
    <w:p w:rsidR="000C0D30" w:rsidRPr="00F42CDF" w:rsidRDefault="000C0D30" w:rsidP="00F42CDF">
      <w:pPr>
        <w:pStyle w:val="Basiccopysl"/>
        <w:spacing w:after="0"/>
        <w:jc w:val="center"/>
      </w:pPr>
      <w:r w:rsidRPr="00F42CDF">
        <w:rPr>
          <w:b/>
        </w:rPr>
        <w:t>Reargued:</w:t>
      </w:r>
      <w:r>
        <w:t xml:space="preserve"> </w:t>
      </w:r>
      <w:r w:rsidRPr="00F42CDF">
        <w:t>March 1</w:t>
      </w:r>
      <w:r>
        <w:t>–</w:t>
      </w:r>
      <w:r w:rsidRPr="00F42CDF">
        <w:t>3, 1819</w:t>
      </w:r>
    </w:p>
    <w:p w:rsidR="000C0D30" w:rsidRPr="00F42CDF" w:rsidRDefault="000C0D30" w:rsidP="00F42CDF">
      <w:pPr>
        <w:pStyle w:val="Basiccopysl"/>
        <w:jc w:val="center"/>
      </w:pPr>
      <w:r w:rsidRPr="00F42CDF">
        <w:rPr>
          <w:b/>
        </w:rPr>
        <w:t>Decided:</w:t>
      </w:r>
      <w:r w:rsidRPr="00F42CDF">
        <w:t xml:space="preserve"> March 6, 1819</w:t>
      </w:r>
    </w:p>
    <w:p w:rsidR="000C0D30" w:rsidRPr="00F42CDF" w:rsidRDefault="000C0D30" w:rsidP="00F42CDF">
      <w:pPr>
        <w:pStyle w:val="Subhead2sl"/>
      </w:pPr>
      <w:r w:rsidRPr="00F42CDF">
        <w:t>Background</w:t>
      </w:r>
    </w:p>
    <w:p w:rsidR="000C0D30" w:rsidRPr="00F42CDF" w:rsidRDefault="000C0D30"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rsidR="000C0D30" w:rsidRPr="00F42CDF" w:rsidRDefault="000C0D30"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rsidR="000C0D30" w:rsidRPr="00F42CDF" w:rsidRDefault="000C0D30"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rsidR="000C0D30" w:rsidRDefault="000C0D30" w:rsidP="00F42CDF">
      <w:pPr>
        <w:pStyle w:val="Subhead2sl"/>
        <w:rPr>
          <w:color w:val="222222"/>
        </w:rPr>
      </w:pPr>
      <w:r>
        <w:t>Facts</w:t>
      </w:r>
    </w:p>
    <w:p w:rsidR="000C0D30" w:rsidRDefault="000C0D30" w:rsidP="00F42CDF">
      <w:pPr>
        <w:pStyle w:val="Basiccopysl"/>
      </w:pPr>
      <w:r>
        <w:t xml:space="preserve">Maryland attempted to close the Baltimore branch of the national bank by passing a law that forced all banks chartered outside of the state to pay a yearly tax (the Second Bank was the only such bank </w:t>
      </w:r>
      <w:r>
        <w:lastRenderedPageBreak/>
        <w:t>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rsidR="000C0D30" w:rsidRDefault="000C0D30" w:rsidP="00F42CDF">
      <w:pPr>
        <w:pStyle w:val="Basiccopysl"/>
      </w:pPr>
      <w:r>
        <w:t>The Maryland Court of Appeals ruled in favor of Maryland, and McCulloch appealed again. The case was heard by the Supreme Court of the United States.</w:t>
      </w:r>
    </w:p>
    <w:p w:rsidR="000C0D30" w:rsidRDefault="000C0D30" w:rsidP="00F42CDF">
      <w:pPr>
        <w:pStyle w:val="Subhead2sl"/>
      </w:pPr>
      <w:r>
        <w:t>Issues</w:t>
      </w:r>
    </w:p>
    <w:p w:rsidR="000C0D30" w:rsidRDefault="000C0D30" w:rsidP="00F42CDF">
      <w:pPr>
        <w:pStyle w:val="Basiccopysl"/>
      </w:pPr>
      <w:r>
        <w:t>Did Congress have the authority under the Constitution to commission a national bank? If so, did the state of Maryland have the authority to tax a branch of the national bank operating within its borders?</w:t>
      </w:r>
    </w:p>
    <w:p w:rsidR="000C0D30" w:rsidRDefault="000C0D30" w:rsidP="00F42CDF">
      <w:pPr>
        <w:pStyle w:val="Subhead2sl"/>
      </w:pPr>
      <w:r>
        <w:rPr>
          <w:color w:val="000000"/>
        </w:rPr>
        <w:t xml:space="preserve">Constitutional </w:t>
      </w:r>
      <w:r>
        <w:t>Text and Amendments</w:t>
      </w:r>
    </w:p>
    <w:p w:rsidR="000C0D30" w:rsidRDefault="000C0D30" w:rsidP="000C0D30">
      <w:pPr>
        <w:pStyle w:val="Subhead3sl"/>
        <w:numPr>
          <w:ilvl w:val="0"/>
          <w:numId w:val="6"/>
        </w:numPr>
        <w:spacing w:before="240"/>
        <w:rPr>
          <w:color w:val="000000"/>
        </w:rPr>
      </w:pPr>
      <w:r>
        <w:rPr>
          <w:color w:val="000000"/>
        </w:rPr>
        <w:t xml:space="preserve">U.S. Constitution, </w:t>
      </w:r>
      <w:r>
        <w:t>Article I, Section 8, Clause 18 (Necessary and Proper Clause)</w:t>
      </w:r>
    </w:p>
    <w:p w:rsidR="000C0D30" w:rsidRDefault="000C0D30"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rsidR="000C0D30" w:rsidRPr="000D5454" w:rsidRDefault="000C0D30" w:rsidP="000C0D30">
      <w:pPr>
        <w:pStyle w:val="Subhead3sl"/>
        <w:numPr>
          <w:ilvl w:val="0"/>
          <w:numId w:val="6"/>
        </w:numPr>
        <w:spacing w:before="240"/>
        <w:rPr>
          <w:color w:val="000000"/>
        </w:rPr>
      </w:pPr>
      <w:r w:rsidRPr="000D5454">
        <w:rPr>
          <w:color w:val="000000"/>
        </w:rPr>
        <w:t>U.S. Constitution, Article VI, Clause 2 (Supremacy Clause)</w:t>
      </w:r>
    </w:p>
    <w:p w:rsidR="000C0D30" w:rsidRDefault="000C0D30"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C0D30" w:rsidRPr="000D5454" w:rsidRDefault="000C0D30" w:rsidP="000C0D30">
      <w:pPr>
        <w:pStyle w:val="Subhead3sl"/>
        <w:numPr>
          <w:ilvl w:val="0"/>
          <w:numId w:val="6"/>
        </w:numPr>
        <w:spacing w:before="240"/>
        <w:rPr>
          <w:color w:val="000000"/>
        </w:rPr>
      </w:pPr>
      <w:r w:rsidRPr="000D5454">
        <w:rPr>
          <w:color w:val="000000"/>
        </w:rPr>
        <w:t>U.S. Constitution, Amendment X</w:t>
      </w:r>
    </w:p>
    <w:p w:rsidR="000C0D30" w:rsidRDefault="000C0D30" w:rsidP="000D5454">
      <w:pPr>
        <w:pStyle w:val="Basiccopysl"/>
        <w:ind w:left="720"/>
      </w:pPr>
      <w:r>
        <w:t>“The powers not delegated to the United States by the Constitution, nor prohibited by it to the states, are reserved to the states respectively, or to the people.”</w:t>
      </w:r>
    </w:p>
    <w:p w:rsidR="000C0D30" w:rsidRDefault="000C0D30" w:rsidP="00F42CDF">
      <w:pPr>
        <w:pStyle w:val="Subhead2sl"/>
      </w:pPr>
      <w:r>
        <w:t>Arguments for McCulloch (petitioner)</w:t>
      </w:r>
    </w:p>
    <w:p w:rsidR="000C0D30" w:rsidRDefault="000C0D30" w:rsidP="00BB0B33">
      <w:pPr>
        <w:pStyle w:val="Bulletsl"/>
        <w:spacing w:line="276" w:lineRule="auto"/>
      </w:pPr>
      <w:r>
        <w:t>The Necessary and Proper Clause permits Congress to make laws as they see fit. A law creating a national bank is necessary for the running of the country.</w:t>
      </w:r>
    </w:p>
    <w:p w:rsidR="000C0D30" w:rsidRDefault="000C0D30" w:rsidP="00BB0B33">
      <w:pPr>
        <w:pStyle w:val="Bulletsl"/>
        <w:spacing w:line="276" w:lineRule="auto"/>
      </w:pPr>
      <w:r>
        <w:lastRenderedPageBreak/>
        <w:t xml:space="preserve">While the Constitution does not specifically say that Congress has the power to establish a national bank, there is also nothing in the Constitution restricting the powers of Congress to those specifically enumerated. </w:t>
      </w:r>
    </w:p>
    <w:p w:rsidR="000C0D30" w:rsidRPr="00442BF5" w:rsidRDefault="000C0D30"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rsidR="000C0D30" w:rsidRDefault="000C0D30"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rsidR="000C0D30" w:rsidRDefault="000C0D30" w:rsidP="00F42CDF">
      <w:pPr>
        <w:pStyle w:val="Subhead3sl"/>
      </w:pPr>
      <w:r>
        <w:t>Arguments for Maryland (respondent)</w:t>
      </w:r>
    </w:p>
    <w:p w:rsidR="000C0D30" w:rsidRDefault="000C0D30" w:rsidP="00BB0B33">
      <w:pPr>
        <w:pStyle w:val="Bulletsl"/>
        <w:spacing w:line="276" w:lineRule="auto"/>
      </w:pPr>
      <w:r>
        <w:t>The Constitution never says that Congress may establish a national bank.</w:t>
      </w:r>
    </w:p>
    <w:p w:rsidR="000C0D30" w:rsidRDefault="000C0D30" w:rsidP="00BB0B33">
      <w:pPr>
        <w:pStyle w:val="Bulletsl"/>
        <w:spacing w:line="276" w:lineRule="auto"/>
      </w:pPr>
      <w:r>
        <w:t xml:space="preserve">The Constitution says that the powers not delegated to the United States are reserved to the states. </w:t>
      </w:r>
    </w:p>
    <w:p w:rsidR="000C0D30" w:rsidRDefault="000C0D30" w:rsidP="00BB0B33">
      <w:pPr>
        <w:pStyle w:val="Bulletsl"/>
        <w:spacing w:line="276" w:lineRule="auto"/>
      </w:pPr>
      <w:r>
        <w:t xml:space="preserve">The federal government shares the ability to raise taxes with the states—it is a concurrent power. Taxation within a sovereign state’s border, including of federal entities, is a state’s exercise of a Constitutional power. </w:t>
      </w:r>
    </w:p>
    <w:p w:rsidR="000C0D30" w:rsidRDefault="000C0D30" w:rsidP="00BB0B33">
      <w:pPr>
        <w:pStyle w:val="Bulletsl"/>
        <w:spacing w:line="276" w:lineRule="auto"/>
      </w:pPr>
      <w:r>
        <w:t xml:space="preserve">The establishment of a national bank interferes with the states’ abilities to control their own supply of money and their own economies. </w:t>
      </w:r>
    </w:p>
    <w:p w:rsidR="000C0D30" w:rsidRDefault="000C0D30" w:rsidP="00F42CDF">
      <w:pPr>
        <w:pStyle w:val="Subhead2sl"/>
      </w:pPr>
      <w:r>
        <w:t>Decision</w:t>
      </w:r>
    </w:p>
    <w:p w:rsidR="000C0D30" w:rsidRDefault="000C0D30" w:rsidP="00F42CDF">
      <w:pPr>
        <w:pStyle w:val="Basiccopysl"/>
      </w:pPr>
      <w:r>
        <w:t xml:space="preserve">The decision was unanimous in favor of McCulloch and the federal government. Chief Justice John Marshall authored the opinion of the Court. </w:t>
      </w:r>
    </w:p>
    <w:p w:rsidR="000C0D30" w:rsidRDefault="000C0D30"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rsidR="000C0D30" w:rsidRDefault="000C0D30"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 xml:space="preserve">Thus because “states have no power, by taxation or otherwise, to retard, impede, burden or in any manner control” the operation of </w:t>
      </w:r>
      <w:r w:rsidRPr="00786860">
        <w:lastRenderedPageBreak/>
        <w:t>constitutional laws passed by Congress, Maryland could not be allowed to tax a branch of the national bank, even though that branch was operating within its borders.</w:t>
      </w:r>
    </w:p>
    <w:p w:rsidR="000C0D30" w:rsidRPr="00F42CDF" w:rsidRDefault="000C0D30" w:rsidP="00F42CDF"/>
    <w:p w:rsidR="000C0D30" w:rsidRDefault="000C0D30" w:rsidP="005D78F1">
      <w:pPr>
        <w:pStyle w:val="Title2sl"/>
        <w:sectPr w:rsidR="000C0D30" w:rsidSect="000C0D30">
          <w:headerReference w:type="default" r:id="rId20"/>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McDonald v. City of Chicago</w:t>
      </w:r>
      <w:r w:rsidRPr="00837007">
        <w:t xml:space="preserve"> </w:t>
      </w:r>
      <w:r w:rsidRPr="000106EE">
        <w:t>(2010)</w:t>
      </w:r>
    </w:p>
    <w:p w:rsidR="000C0D30" w:rsidRPr="00ED7038" w:rsidRDefault="000C0D30" w:rsidP="005D78F1">
      <w:pPr>
        <w:pStyle w:val="Argueddecideddatessl"/>
      </w:pPr>
      <w:r>
        <w:t>Argued</w:t>
      </w:r>
      <w:r w:rsidRPr="00ED7038">
        <w:t xml:space="preserve">: </w:t>
      </w:r>
      <w:r w:rsidRPr="005D78F1">
        <w:rPr>
          <w:b w:val="0"/>
        </w:rPr>
        <w:t>March 2, 2010</w:t>
      </w:r>
    </w:p>
    <w:p w:rsidR="000C0D30" w:rsidRPr="00ED7038" w:rsidRDefault="000C0D30" w:rsidP="005D78F1">
      <w:pPr>
        <w:pStyle w:val="Argueddecideddatessl"/>
      </w:pPr>
      <w:r>
        <w:t>Decided</w:t>
      </w:r>
      <w:r w:rsidRPr="00ED7038">
        <w:t xml:space="preserve">: </w:t>
      </w:r>
      <w:r w:rsidRPr="005D78F1">
        <w:rPr>
          <w:b w:val="0"/>
        </w:rPr>
        <w:t>June 28, 2010</w:t>
      </w:r>
    </w:p>
    <w:p w:rsidR="000C0D30" w:rsidRPr="00084153" w:rsidRDefault="000C0D30" w:rsidP="005D78F1">
      <w:pPr>
        <w:pStyle w:val="Subhead2sl"/>
      </w:pPr>
      <w:r w:rsidRPr="00084153">
        <w:t>Background</w:t>
      </w:r>
    </w:p>
    <w:p w:rsidR="000C0D30" w:rsidRPr="00ED7038" w:rsidRDefault="000C0D30"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rsidR="000C0D30" w:rsidRPr="00ED7038" w:rsidRDefault="000C0D30"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rsidR="000C0D30" w:rsidRPr="00084153" w:rsidRDefault="000C0D30" w:rsidP="005D78F1">
      <w:pPr>
        <w:pStyle w:val="Subhead2sl"/>
      </w:pPr>
      <w:r w:rsidRPr="00084153">
        <w:t>Facts</w:t>
      </w:r>
    </w:p>
    <w:p w:rsidR="000C0D30" w:rsidRPr="00ED7038" w:rsidRDefault="000C0D30" w:rsidP="005D78F1">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rsidR="000C0D30" w:rsidRPr="00ED7038" w:rsidRDefault="000C0D30"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A75F59">
        <w:rPr>
          <w:rFonts w:cs="Palatino Linotype"/>
          <w:bCs/>
        </w:rPr>
        <w:t>(see the summary below)</w:t>
      </w:r>
      <w:r>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rsidR="000C0D30" w:rsidRDefault="000C0D30" w:rsidP="005D78F1">
      <w:pPr>
        <w:pStyle w:val="Basiccopysl"/>
      </w:pPr>
      <w:r w:rsidRPr="00ED7038">
        <w:rPr>
          <w:rFonts w:cs="Palatino Linotype"/>
          <w:bCs/>
        </w:rPr>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w:t>
      </w:r>
      <w:r w:rsidRPr="00ED7038">
        <w:rPr>
          <w:rFonts w:cs="Palatino Linotype"/>
          <w:bCs/>
        </w:rPr>
        <w:lastRenderedPageBreak/>
        <w:t xml:space="preserve">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rsidR="000C0D30" w:rsidRPr="00ED7038" w:rsidRDefault="000C0D30" w:rsidP="005D78F1">
      <w:pPr>
        <w:pStyle w:val="Subhead2sl"/>
      </w:pPr>
      <w:r w:rsidRPr="00ED7038">
        <w:t>Issue</w:t>
      </w:r>
    </w:p>
    <w:p w:rsidR="000C0D30" w:rsidRPr="00ED7038" w:rsidRDefault="000C0D30" w:rsidP="005D78F1">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14th Amendment and thus limit Chicago’s ability to regulate guns?</w:t>
      </w:r>
    </w:p>
    <w:p w:rsidR="000C0D30" w:rsidRPr="00084153" w:rsidRDefault="000C0D30" w:rsidP="005D78F1">
      <w:pPr>
        <w:pStyle w:val="Subhead2sl"/>
      </w:pPr>
      <w:r w:rsidRPr="00084153">
        <w:t>Constitutional Amendments</w:t>
      </w:r>
      <w:r>
        <w:t xml:space="preserve"> and Supreme Court Precedents</w:t>
      </w:r>
      <w:r w:rsidRPr="00084153">
        <w:t xml:space="preserve"> </w:t>
      </w:r>
    </w:p>
    <w:p w:rsidR="000C0D30" w:rsidRPr="005D78F1" w:rsidRDefault="000C0D30" w:rsidP="005D78F1">
      <w:pPr>
        <w:pStyle w:val="Amendmentprecedentbulletsl"/>
        <w:rPr>
          <w:i/>
        </w:rPr>
      </w:pPr>
      <w:r>
        <w:t>Seco</w:t>
      </w:r>
      <w:r w:rsidRPr="005D78F1">
        <w:t>nd Amendment to the U.S. Constitution</w:t>
      </w:r>
    </w:p>
    <w:p w:rsidR="000C0D30" w:rsidRPr="005D78F1" w:rsidRDefault="000C0D30" w:rsidP="005D78F1">
      <w:pPr>
        <w:pStyle w:val="Indentedbasiccopysl"/>
      </w:pPr>
      <w:r w:rsidRPr="005D78F1">
        <w:t>“A well regulated Militia, being necessary to the security of a free State, the right of the people to keep and bear Arms, shall not be infringed.”</w:t>
      </w:r>
    </w:p>
    <w:p w:rsidR="000C0D30" w:rsidRPr="005D78F1" w:rsidRDefault="000C0D30" w:rsidP="005D78F1">
      <w:pPr>
        <w:pStyle w:val="Amendmentprecedentbulletsl"/>
      </w:pPr>
      <w:r w:rsidRPr="005D78F1">
        <w:t>14th Amendment to the U.S. Constitution</w:t>
      </w:r>
    </w:p>
    <w:p w:rsidR="000C0D30" w:rsidRPr="005D78F1" w:rsidRDefault="000C0D30"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rsidR="000C0D30" w:rsidRDefault="000C0D30" w:rsidP="005D78F1">
      <w:pPr>
        <w:pStyle w:val="Amendmentprecedentbulletsl"/>
      </w:pPr>
      <w:r w:rsidRPr="005D78F1">
        <w:rPr>
          <w:i/>
        </w:rPr>
        <w:t>Duncan v. Louisiana</w:t>
      </w:r>
      <w:r w:rsidRPr="00F64721">
        <w:t xml:space="preserve"> (1968)</w:t>
      </w:r>
    </w:p>
    <w:p w:rsidR="000C0D30" w:rsidRPr="00F64721" w:rsidRDefault="000C0D30"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rsidR="000C0D30" w:rsidRDefault="000C0D30" w:rsidP="005D78F1">
      <w:pPr>
        <w:pStyle w:val="Amendmentprecedentbulletsl"/>
      </w:pPr>
      <w:r w:rsidRPr="005D78F1">
        <w:rPr>
          <w:i/>
        </w:rPr>
        <w:t xml:space="preserve">District of Columbia v. </w:t>
      </w:r>
      <w:r w:rsidRPr="005D78F1">
        <w:rPr>
          <w:i/>
          <w:iCs/>
        </w:rPr>
        <w:t>Heller</w:t>
      </w:r>
      <w:r w:rsidRPr="00F64721">
        <w:t xml:space="preserve"> (2008)</w:t>
      </w:r>
    </w:p>
    <w:p w:rsidR="000C0D30" w:rsidRPr="00F64721" w:rsidRDefault="000C0D30" w:rsidP="005D78F1">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individuals to possess weapons for self-defense</w:t>
      </w:r>
      <w:r>
        <w:t>,</w:t>
      </w:r>
      <w:r w:rsidRPr="00ED7038">
        <w:t xml:space="preserve"> indicated that the Framers recognized an individual right to bear arms as a fundamental right. </w:t>
      </w:r>
    </w:p>
    <w:p w:rsidR="000C0D30" w:rsidRPr="00ED7038" w:rsidRDefault="000C0D30" w:rsidP="005D78F1">
      <w:pPr>
        <w:pStyle w:val="Indentedbasiccopysl"/>
        <w:rPr>
          <w:b/>
          <w:bCs/>
        </w:rPr>
      </w:pPr>
      <w:r w:rsidRPr="00ED7038">
        <w:lastRenderedPageBreak/>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rsidR="000C0D30" w:rsidRPr="00ED7038" w:rsidRDefault="000C0D30" w:rsidP="005D78F1">
      <w:pPr>
        <w:pStyle w:val="Subhead2sl"/>
      </w:pPr>
      <w:r w:rsidRPr="00ED7038">
        <w:t>Arguments for McDonald</w:t>
      </w:r>
      <w:r>
        <w:t xml:space="preserve"> (petitioner)</w:t>
      </w:r>
    </w:p>
    <w:p w:rsidR="000C0D30" w:rsidRPr="00ED7038" w:rsidRDefault="000C0D30" w:rsidP="001C5593">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rsidR="000C0D30" w:rsidRPr="00ED7038" w:rsidRDefault="000C0D30"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rsidR="000C0D30" w:rsidRPr="00ED7038" w:rsidRDefault="000C0D30"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rsidR="000C0D30" w:rsidRPr="00ED7038" w:rsidRDefault="000C0D30"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rsidR="000C0D30" w:rsidRPr="00ED7038" w:rsidRDefault="000C0D30"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rsidR="000C0D30" w:rsidRPr="00084153" w:rsidRDefault="000C0D30"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rsidR="000C0D30" w:rsidRPr="00ED7038" w:rsidRDefault="000C0D30" w:rsidP="005D78F1">
      <w:pPr>
        <w:pStyle w:val="Subhead2sl"/>
      </w:pPr>
      <w:r w:rsidRPr="00ED7038">
        <w:t>Arguments for Chicago</w:t>
      </w:r>
      <w:r>
        <w:t xml:space="preserve"> (respondent)</w:t>
      </w:r>
    </w:p>
    <w:p w:rsidR="000C0D30" w:rsidRPr="00ED7038" w:rsidRDefault="000C0D30" w:rsidP="001C5593">
      <w:pPr>
        <w:pStyle w:val="Bulletsl"/>
        <w:spacing w:line="276" w:lineRule="auto"/>
      </w:pPr>
      <w:r w:rsidRPr="00ED7038">
        <w:t xml:space="preserve">The Constitution and Bill of Rights have traditionally been understood as limits on the federal government, not the states. </w:t>
      </w:r>
    </w:p>
    <w:p w:rsidR="000C0D30" w:rsidRPr="00ED7038" w:rsidRDefault="000C0D30"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rsidR="000C0D30" w:rsidRPr="00ED7038" w:rsidRDefault="000C0D30" w:rsidP="001C5593">
      <w:pPr>
        <w:pStyle w:val="Bulletsl"/>
        <w:spacing w:line="276" w:lineRule="auto"/>
      </w:pPr>
      <w:r w:rsidRPr="00ED7038">
        <w:t xml:space="preserve">Even if guns were an important part of this country at the time of the </w:t>
      </w:r>
      <w:r>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rsidR="000C0D30" w:rsidRPr="00ED7038" w:rsidRDefault="000C0D30" w:rsidP="001C5593">
      <w:pPr>
        <w:pStyle w:val="Bulletsl"/>
        <w:spacing w:line="276" w:lineRule="auto"/>
      </w:pPr>
      <w:r w:rsidRPr="00ED7038">
        <w:lastRenderedPageBreak/>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rsidR="000C0D30" w:rsidRPr="00ED7038" w:rsidRDefault="000C0D30"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rsidR="000C0D30" w:rsidRPr="00ED7038" w:rsidRDefault="000C0D30"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rsidR="000C0D30" w:rsidRPr="00ED7038" w:rsidRDefault="000C0D30" w:rsidP="005D78F1">
      <w:pPr>
        <w:pStyle w:val="Subhead2sl"/>
        <w:spacing w:before="480"/>
      </w:pPr>
      <w:r w:rsidRPr="00ED7038">
        <w:t>Decision</w:t>
      </w:r>
    </w:p>
    <w:p w:rsidR="000C0D30" w:rsidRPr="00ED7038" w:rsidRDefault="000C0D30"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rsidR="000C0D30" w:rsidRDefault="000C0D30" w:rsidP="005D78F1">
      <w:pPr>
        <w:pStyle w:val="Subhead3sl"/>
      </w:pPr>
      <w:r w:rsidRPr="003E0AA5">
        <w:t>Majority</w:t>
      </w:r>
    </w:p>
    <w:p w:rsidR="000C0D30" w:rsidRPr="00A91FD2" w:rsidRDefault="000C0D30"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rsidR="000C0D30" w:rsidRPr="00ED7038" w:rsidRDefault="000C0D30" w:rsidP="005D78F1">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ED7038">
        <w:rPr>
          <w:rFonts w:cs="Century Schoolbook"/>
          <w:i/>
          <w:color w:val="000000"/>
        </w:rPr>
        <w:t>majority</w:t>
      </w:r>
      <w:r w:rsidRPr="00ED7038">
        <w:rPr>
          <w:rFonts w:cs="Century Schoolbook"/>
          <w:color w:val="000000"/>
        </w:rPr>
        <w:t xml:space="preserve"> for that part of the opinion, however, it is not the law. </w:t>
      </w:r>
    </w:p>
    <w:p w:rsidR="000C0D30" w:rsidRPr="003E0AA5" w:rsidRDefault="000C0D30" w:rsidP="005D78F1">
      <w:pPr>
        <w:pStyle w:val="Subhead3sl"/>
      </w:pPr>
      <w:r w:rsidRPr="003E0AA5">
        <w:t>Dissent</w:t>
      </w:r>
      <w:r>
        <w:t>s</w:t>
      </w:r>
    </w:p>
    <w:p w:rsidR="000C0D30" w:rsidRPr="00F42CDF" w:rsidRDefault="000C0D30" w:rsidP="005D78F1">
      <w:pPr>
        <w:pStyle w:val="Basiccopysl"/>
      </w:pPr>
      <w:r>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w:t>
      </w:r>
      <w:r w:rsidRPr="00ED7038">
        <w:lastRenderedPageBreak/>
        <w:t>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rsidR="000C0D30" w:rsidRDefault="000C0D30" w:rsidP="00A23A74">
      <w:pPr>
        <w:pStyle w:val="Title2sl"/>
        <w:spacing w:before="240" w:after="120"/>
        <w:sectPr w:rsidR="000C0D30" w:rsidSect="000C0D30">
          <w:headerReference w:type="default" r:id="rId21"/>
          <w:footnotePr>
            <w:numFmt w:val="chicago"/>
          </w:footnotePr>
          <w:pgSz w:w="12240" w:h="15840"/>
          <w:pgMar w:top="1440" w:right="1440" w:bottom="1440" w:left="1440" w:header="720" w:footer="720" w:gutter="0"/>
          <w:cols w:space="720"/>
          <w:docGrid w:linePitch="360"/>
        </w:sectPr>
      </w:pPr>
    </w:p>
    <w:p w:rsidR="000C0D30" w:rsidRPr="00EF1282" w:rsidRDefault="000C0D30" w:rsidP="000C0D30">
      <w:pPr>
        <w:pStyle w:val="Title2sl"/>
        <w:spacing w:before="240" w:after="120"/>
        <w:jc w:val="center"/>
        <w:rPr>
          <w:i/>
        </w:rPr>
      </w:pPr>
      <w:r w:rsidRPr="000C0D30">
        <w:rPr>
          <w:i/>
        </w:rPr>
        <w:lastRenderedPageBreak/>
        <w:t>New York Times Co. vs. U.S.</w:t>
      </w:r>
      <w:r>
        <w:t xml:space="preserve"> </w:t>
      </w:r>
      <w:r w:rsidRPr="00D77631">
        <w:t>(1971)</w:t>
      </w:r>
    </w:p>
    <w:p w:rsidR="000C0D30" w:rsidRDefault="000C0D30" w:rsidP="002279AE">
      <w:pPr>
        <w:pStyle w:val="Basiccopysl"/>
        <w:spacing w:after="0"/>
        <w:jc w:val="center"/>
        <w:rPr>
          <w:b/>
        </w:rPr>
      </w:pPr>
      <w:r w:rsidRPr="002279AE">
        <w:rPr>
          <w:b/>
        </w:rPr>
        <w:t>Argued:</w:t>
      </w:r>
      <w:r w:rsidRPr="00EF1282">
        <w:t xml:space="preserve"> June 26, 1971</w:t>
      </w:r>
    </w:p>
    <w:p w:rsidR="000C0D30" w:rsidRPr="00EF1282" w:rsidRDefault="000C0D30" w:rsidP="002279AE">
      <w:pPr>
        <w:pStyle w:val="Basiccopysl"/>
        <w:jc w:val="center"/>
        <w:rPr>
          <w:b/>
        </w:rPr>
      </w:pPr>
      <w:r w:rsidRPr="002279AE">
        <w:rPr>
          <w:b/>
        </w:rPr>
        <w:t>Decided:</w:t>
      </w:r>
      <w:r w:rsidRPr="00EF1282">
        <w:t xml:space="preserve"> June 30, 1971</w:t>
      </w:r>
    </w:p>
    <w:p w:rsidR="000C0D30" w:rsidRPr="002279AE" w:rsidRDefault="000C0D30" w:rsidP="002279AE">
      <w:pPr>
        <w:pStyle w:val="Subhead2sl"/>
      </w:pPr>
      <w:r w:rsidRPr="002279AE">
        <w:t>Background</w:t>
      </w:r>
    </w:p>
    <w:p w:rsidR="000C0D30" w:rsidRPr="002279AE" w:rsidRDefault="000C0D30" w:rsidP="002279AE">
      <w:pPr>
        <w:pStyle w:val="Basiccopysl"/>
      </w:pPr>
      <w:r w:rsidRPr="002279AE">
        <w:t xml:space="preserve">The United States’ involvement in the Vietnam War became increasingly controversial and unpopular among Americans as the conflict persisted over a decade. </w:t>
      </w:r>
    </w:p>
    <w:p w:rsidR="000C0D30" w:rsidRPr="002279AE" w:rsidRDefault="000C0D30" w:rsidP="002279AE">
      <w:pPr>
        <w:pStyle w:val="Basiccopysl"/>
      </w:pPr>
      <w:r w:rsidRPr="002279AE">
        <w:t>Since security and secrecy were important to the U.S.</w:t>
      </w:r>
      <w:r>
        <w:t>’s</w:t>
      </w:r>
      <w:r w:rsidRPr="002279AE">
        <w:t xml:space="preserve"> 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t>.</w:t>
      </w:r>
      <w:r w:rsidRPr="002279AE">
        <w:t>S</w:t>
      </w:r>
      <w:r>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rsidR="000C0D30" w:rsidRPr="002279AE" w:rsidRDefault="000C0D30" w:rsidP="002279AE">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rsidR="000C0D30" w:rsidRDefault="000C0D30" w:rsidP="002279AE">
      <w:pPr>
        <w:pStyle w:val="Subhead2sl"/>
      </w:pPr>
      <w:r w:rsidRPr="006755F1">
        <w:t>Facts</w:t>
      </w:r>
    </w:p>
    <w:p w:rsidR="000C0D30" w:rsidRPr="002279AE" w:rsidRDefault="000C0D30" w:rsidP="002279AE">
      <w:pPr>
        <w:pStyle w:val="Basiccopysl"/>
      </w:pPr>
      <w:r w:rsidRPr="002279AE">
        <w:t>Daniel Ellsberg, a former military analyst, was disillusioned with the U</w:t>
      </w:r>
      <w:r>
        <w:t>.</w:t>
      </w:r>
      <w:r w:rsidRPr="002279AE">
        <w:t>S</w:t>
      </w:r>
      <w:r>
        <w:t>.</w:t>
      </w:r>
      <w:r w:rsidRPr="002279AE">
        <w:t>’</w:t>
      </w:r>
      <w:r>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t>T</w:t>
      </w:r>
      <w:r w:rsidRPr="002279AE">
        <w:t xml:space="preserve">he New York Times and </w:t>
      </w:r>
      <w:r>
        <w:t>T</w:t>
      </w:r>
      <w:r w:rsidRPr="002279AE">
        <w:t>he Washington Post. These documents contained intimate details about the decision-making plans behind the U</w:t>
      </w:r>
      <w:r>
        <w:t>.</w:t>
      </w:r>
      <w:r w:rsidRPr="002279AE">
        <w:t>S</w:t>
      </w:r>
      <w:r>
        <w:t>.</w:t>
      </w:r>
      <w:r w:rsidRPr="002279AE">
        <w:t>’</w:t>
      </w:r>
      <w:r>
        <w:t>s</w:t>
      </w:r>
      <w:r w:rsidRPr="002279AE">
        <w:t xml:space="preserve"> intervention in the Vietnam conflict, as well as details that revealed contradictions between President Lyndon Johnson’s motivations in Southeast Asia and his public remarks. </w:t>
      </w:r>
    </w:p>
    <w:p w:rsidR="000C0D30" w:rsidRPr="002279AE" w:rsidRDefault="000C0D30"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t>.</w:t>
      </w:r>
      <w:r w:rsidRPr="002279AE">
        <w:t>S</w:t>
      </w:r>
      <w:r>
        <w:t>.</w:t>
      </w:r>
      <w:r w:rsidRPr="002279AE">
        <w:t xml:space="preserve"> government sued the newspaper for violating the Espionage Act.</w:t>
      </w:r>
    </w:p>
    <w:p w:rsidR="000C0D30" w:rsidRPr="002279AE" w:rsidRDefault="000C0D30" w:rsidP="002279AE">
      <w:pPr>
        <w:pStyle w:val="Basiccopysl"/>
      </w:pPr>
      <w:r w:rsidRPr="002279AE">
        <w:t xml:space="preserve">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Espionage Act. Both newspapers argued that the First Amendment protected their right to publish. </w:t>
      </w:r>
      <w:r w:rsidRPr="002279AE">
        <w:lastRenderedPageBreak/>
        <w:t>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rsidR="000C0D30" w:rsidRPr="002279AE" w:rsidRDefault="000C0D30" w:rsidP="002279AE">
      <w:pPr>
        <w:pStyle w:val="Subhead2sl"/>
      </w:pPr>
      <w:r w:rsidRPr="002279AE">
        <w:t>Issue</w:t>
      </w:r>
    </w:p>
    <w:p w:rsidR="000C0D30" w:rsidRDefault="000C0D30"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rsidR="000C0D30" w:rsidRPr="002279AE" w:rsidRDefault="000C0D30" w:rsidP="002279AE">
      <w:pPr>
        <w:pStyle w:val="Subhead2sl"/>
      </w:pPr>
      <w:r w:rsidRPr="002279AE">
        <w:t xml:space="preserve">Constitutional Amendments and </w:t>
      </w:r>
      <w:r>
        <w:t xml:space="preserve">Supreme Court </w:t>
      </w:r>
      <w:r w:rsidRPr="002279AE">
        <w:t xml:space="preserve">Precedents </w:t>
      </w:r>
    </w:p>
    <w:p w:rsidR="000C0D30" w:rsidRPr="002279AE" w:rsidRDefault="000C0D30" w:rsidP="000C0D30">
      <w:pPr>
        <w:pStyle w:val="Bulletsl"/>
        <w:spacing w:before="240" w:line="276" w:lineRule="auto"/>
        <w:rPr>
          <w:b/>
        </w:rPr>
      </w:pPr>
      <w:r>
        <w:rPr>
          <w:b/>
        </w:rPr>
        <w:t xml:space="preserve">First Amendment to the </w:t>
      </w:r>
      <w:r w:rsidRPr="002279AE">
        <w:rPr>
          <w:b/>
        </w:rPr>
        <w:t>U.S. Constitution</w:t>
      </w:r>
    </w:p>
    <w:p w:rsidR="000C0D30" w:rsidRDefault="000C0D30" w:rsidP="002279AE">
      <w:pPr>
        <w:pStyle w:val="Bulletsl"/>
        <w:numPr>
          <w:ilvl w:val="0"/>
          <w:numId w:val="0"/>
        </w:numPr>
        <w:ind w:left="720"/>
        <w:rPr>
          <w:b/>
        </w:rPr>
      </w:pPr>
      <w:r w:rsidRPr="00EF1282">
        <w:t>“Congress shall make no law…abridging the freedom of speech, or of the press”</w:t>
      </w:r>
    </w:p>
    <w:p w:rsidR="000C0D30" w:rsidRPr="002279AE" w:rsidRDefault="000C0D30" w:rsidP="000C0D30">
      <w:pPr>
        <w:pStyle w:val="Bulletsl"/>
        <w:spacing w:before="240" w:line="276" w:lineRule="auto"/>
        <w:rPr>
          <w:b/>
        </w:rPr>
      </w:pPr>
      <w:r w:rsidRPr="002279AE">
        <w:rPr>
          <w:b/>
          <w:i/>
        </w:rPr>
        <w:t>Near v. Minnesota</w:t>
      </w:r>
      <w:r w:rsidRPr="002279AE">
        <w:rPr>
          <w:b/>
        </w:rPr>
        <w:t xml:space="preserve"> </w:t>
      </w:r>
      <w:r w:rsidRPr="0022058B">
        <w:rPr>
          <w:b/>
        </w:rPr>
        <w:t>(1931)</w:t>
      </w:r>
    </w:p>
    <w:p w:rsidR="000C0D30" w:rsidRDefault="000C0D30" w:rsidP="002279AE">
      <w:pPr>
        <w:pStyle w:val="Bulletsl"/>
        <w:numPr>
          <w:ilvl w:val="0"/>
          <w:numId w:val="0"/>
        </w:numPr>
        <w:ind w:left="720"/>
      </w:pPr>
      <w:r>
        <w:t xml:space="preserve">J.M. </w:t>
      </w:r>
      <w:proofErr w:type="gramStart"/>
      <w:r>
        <w:t>Near</w:t>
      </w:r>
      <w:proofErr w:type="gramEnd"/>
      <w:r>
        <w:t xml:space="preserve">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D77631">
        <w:t>th</w:t>
      </w:r>
      <w:r>
        <w:t xml:space="preserve"> Amendment, and emphasized that prior restraint (preventing the publication of something in advance) is almost always unconstitutional. </w:t>
      </w:r>
    </w:p>
    <w:p w:rsidR="000C0D30" w:rsidRPr="002279AE" w:rsidRDefault="000C0D30" w:rsidP="000C0D30">
      <w:pPr>
        <w:pStyle w:val="Bulletsl"/>
        <w:spacing w:before="240" w:line="276" w:lineRule="auto"/>
        <w:rPr>
          <w:b/>
          <w:i/>
        </w:rPr>
      </w:pPr>
      <w:r w:rsidRPr="0022058B">
        <w:rPr>
          <w:b/>
          <w:i/>
        </w:rPr>
        <w:t>Dennis v. United States</w:t>
      </w:r>
      <w:r w:rsidRPr="002279AE">
        <w:rPr>
          <w:b/>
          <w:i/>
        </w:rPr>
        <w:t xml:space="preserve"> </w:t>
      </w:r>
      <w:r w:rsidRPr="002279AE">
        <w:rPr>
          <w:b/>
        </w:rPr>
        <w:t>(1951)</w:t>
      </w:r>
    </w:p>
    <w:p w:rsidR="000C0D30" w:rsidRPr="002279AE" w:rsidRDefault="000C0D30"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rsidR="000C0D30" w:rsidRPr="002279AE" w:rsidRDefault="000C0D30" w:rsidP="002279AE">
      <w:pPr>
        <w:pStyle w:val="Subhead2sl"/>
      </w:pPr>
      <w:r w:rsidRPr="002279AE">
        <w:t xml:space="preserve">Arguments for </w:t>
      </w:r>
      <w:r>
        <w:t xml:space="preserve">The </w:t>
      </w:r>
      <w:r w:rsidRPr="002279AE">
        <w:t xml:space="preserve">New York Times </w:t>
      </w:r>
      <w:r>
        <w:t>(petitioner)</w:t>
      </w:r>
    </w:p>
    <w:p w:rsidR="000C0D30" w:rsidRPr="00740460" w:rsidRDefault="000C0D30" w:rsidP="000C0D30">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rsidR="000C0D30" w:rsidRPr="00740460" w:rsidRDefault="000C0D30" w:rsidP="000C0D30">
      <w:pPr>
        <w:pStyle w:val="Bulletsl"/>
        <w:spacing w:line="276" w:lineRule="auto"/>
        <w:rPr>
          <w:rFonts w:cs="Times New Roman"/>
        </w:rPr>
      </w:pPr>
      <w:r>
        <w:rPr>
          <w:shd w:val="clear" w:color="auto" w:fill="FFFFFF"/>
        </w:rPr>
        <w:lastRenderedPageBreak/>
        <w:t xml:space="preserve">Congress has not made laws that abridge the freedom of the press in the name of national security and presidential power. The courts should not take it upon themselves to make law that would do so simply because the executive branch requests it. </w:t>
      </w:r>
    </w:p>
    <w:p w:rsidR="000C0D30" w:rsidRPr="00740460" w:rsidRDefault="000C0D30" w:rsidP="000C0D30">
      <w:pPr>
        <w:pStyle w:val="Bulletsl"/>
        <w:spacing w:line="276" w:lineRule="auto"/>
        <w:rPr>
          <w:rFonts w:cs="Times New Roman"/>
        </w:rPr>
      </w:pPr>
      <w:r>
        <w:rPr>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rsidR="000C0D30" w:rsidRPr="00740460" w:rsidRDefault="000C0D30" w:rsidP="000C0D30">
      <w:pPr>
        <w:pStyle w:val="Bulletsl"/>
        <w:spacing w:line="276" w:lineRule="auto"/>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 xml:space="preserve">Publishing materials that reveal misjudgments, miscalculations, or mistakes made by government officials is exactly why we want a free press to have unrestrained publishing authority. </w:t>
      </w:r>
    </w:p>
    <w:p w:rsidR="000C0D30" w:rsidRPr="002279AE" w:rsidRDefault="000C0D30" w:rsidP="002279AE">
      <w:pPr>
        <w:pStyle w:val="Subhead2sl"/>
      </w:pPr>
      <w:r w:rsidRPr="002279AE">
        <w:t xml:space="preserve">Arguments for </w:t>
      </w:r>
      <w:r>
        <w:t xml:space="preserve">the </w:t>
      </w:r>
      <w:r w:rsidRPr="002279AE">
        <w:t>U.S. Government (respondent)</w:t>
      </w:r>
    </w:p>
    <w:p w:rsidR="000C0D30" w:rsidRPr="00300794" w:rsidRDefault="000C0D30" w:rsidP="000C0D30">
      <w:pPr>
        <w:pStyle w:val="Bulletsl"/>
        <w:spacing w:line="276" w:lineRule="auto"/>
      </w:pPr>
      <w:r>
        <w:t xml:space="preserve">During times of war, the executive branch must be given broad authority to restrict publication of sensitive information that could harm U.S. national security. </w:t>
      </w:r>
    </w:p>
    <w:p w:rsidR="000C0D30" w:rsidRPr="000A150F" w:rsidRDefault="000C0D30" w:rsidP="000C0D30">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the Constitution assigns decisions about foreign affairs </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rsidR="000C0D30" w:rsidRPr="00783A2A" w:rsidRDefault="000C0D30" w:rsidP="000C0D30">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rsidR="000C0D30" w:rsidRPr="00783A2A" w:rsidRDefault="000C0D30" w:rsidP="000C0D30">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This duty applies to everyone equally—from regular citizens, to high officials, and certainly also to T</w:t>
      </w:r>
      <w:r w:rsidRPr="00783A2A">
        <w:rPr>
          <w:rFonts w:cs="Arial"/>
          <w:color w:val="000000"/>
        </w:rPr>
        <w:t xml:space="preserve">he </w:t>
      </w:r>
      <w:r w:rsidRPr="00D77631">
        <w:rPr>
          <w:rFonts w:cs="Arial"/>
          <w:color w:val="000000"/>
        </w:rPr>
        <w:t>New York Times</w:t>
      </w:r>
      <w:r>
        <w:rPr>
          <w:rFonts w:cs="Arial"/>
          <w:color w:val="000000"/>
        </w:rPr>
        <w:t xml:space="preserve"> and The </w:t>
      </w:r>
      <w:r w:rsidRPr="00D77631">
        <w:rPr>
          <w:rFonts w:cs="Arial"/>
          <w:color w:val="000000"/>
        </w:rPr>
        <w:t>Washington Post</w:t>
      </w:r>
      <w:r>
        <w:rPr>
          <w:rFonts w:cs="Arial"/>
          <w:color w:val="000000"/>
        </w:rPr>
        <w:t>.</w:t>
      </w:r>
    </w:p>
    <w:p w:rsidR="000C0D30" w:rsidRPr="002279AE" w:rsidRDefault="000C0D30" w:rsidP="002279AE">
      <w:pPr>
        <w:pStyle w:val="Subhead2sl"/>
        <w:rPr>
          <w:rStyle w:val="Subhead2slChar"/>
          <w:b/>
          <w:i/>
        </w:rPr>
      </w:pPr>
      <w:r w:rsidRPr="002279AE">
        <w:rPr>
          <w:rStyle w:val="Subhead2slChar"/>
          <w:b/>
          <w:i/>
        </w:rPr>
        <w:t>Decision</w:t>
      </w:r>
    </w:p>
    <w:p w:rsidR="000C0D30" w:rsidRPr="002279AE" w:rsidRDefault="000C0D30" w:rsidP="002279AE">
      <w:pPr>
        <w:pStyle w:val="Basiccopysl"/>
      </w:pPr>
      <w:r w:rsidRPr="002279AE">
        <w:rPr>
          <w:rStyle w:val="Subhead2slChar"/>
          <w:rFonts w:ascii="Garamond" w:hAnsi="Garamond"/>
          <w:b w:val="0"/>
          <w:i w:val="0"/>
        </w:rPr>
        <w:t>Only four days after hearing oral arguments, the Supreme Court ruled, 6</w:t>
      </w:r>
      <w:r>
        <w:rPr>
          <w:rStyle w:val="Subhead2slChar"/>
          <w:rFonts w:ascii="Garamond" w:hAnsi="Garamond"/>
          <w:b w:val="0"/>
          <w:i w:val="0"/>
        </w:rPr>
        <w:sym w:font="Symbol" w:char="F02D"/>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w:t>
      </w:r>
      <w:proofErr w:type="gramStart"/>
      <w:r w:rsidRPr="002279AE">
        <w:rPr>
          <w:rStyle w:val="Subhead2slChar"/>
          <w:rFonts w:ascii="Garamond" w:hAnsi="Garamond"/>
          <w:b w:val="0"/>
          <w:i w:val="0"/>
        </w:rPr>
        <w:t xml:space="preserve">a </w:t>
      </w:r>
      <w:r w:rsidRPr="00D77631">
        <w:rPr>
          <w:rStyle w:val="Subhead2slChar"/>
          <w:rFonts w:ascii="Garamond" w:hAnsi="Garamond"/>
          <w:b w:val="0"/>
        </w:rPr>
        <w:t>per</w:t>
      </w:r>
      <w:proofErr w:type="gramEnd"/>
      <w:r w:rsidRPr="00D77631">
        <w:rPr>
          <w:rStyle w:val="Subhead2slChar"/>
          <w:rFonts w:ascii="Garamond" w:hAnsi="Garamond"/>
          <w:b w:val="0"/>
        </w:rPr>
        <w:t xml:space="preserve"> </w:t>
      </w:r>
      <w:proofErr w:type="spellStart"/>
      <w:r w:rsidRPr="00D77631">
        <w:rPr>
          <w:rStyle w:val="Subhead2slChar"/>
          <w:rFonts w:ascii="Garamond" w:hAnsi="Garamond"/>
          <w:b w:val="0"/>
        </w:rPr>
        <w:t>curiam</w:t>
      </w:r>
      <w:proofErr w:type="spellEnd"/>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rsidR="000C0D30" w:rsidRPr="002279AE" w:rsidRDefault="000C0D30" w:rsidP="002279AE">
      <w:pPr>
        <w:pStyle w:val="Subhead3sl"/>
        <w:rPr>
          <w:i/>
        </w:rPr>
      </w:pPr>
      <w:r w:rsidRPr="002279AE">
        <w:rPr>
          <w:i/>
        </w:rPr>
        <w:lastRenderedPageBreak/>
        <w:t xml:space="preserve">Per </w:t>
      </w:r>
      <w:proofErr w:type="spellStart"/>
      <w:r w:rsidRPr="002279AE">
        <w:rPr>
          <w:i/>
        </w:rPr>
        <w:t>Curiam</w:t>
      </w:r>
      <w:proofErr w:type="spellEnd"/>
    </w:p>
    <w:p w:rsidR="000C0D30" w:rsidRDefault="000C0D30" w:rsidP="002279AE">
      <w:pPr>
        <w:pStyle w:val="Basiccopysl"/>
        <w:rPr>
          <w:b/>
        </w:rPr>
      </w:pPr>
      <w:r>
        <w:t>The Court reaffirmed its longstanding rule that “[a]</w:t>
      </w:r>
      <w:proofErr w:type="spellStart"/>
      <w:r>
        <w:t>ny</w:t>
      </w:r>
      <w:proofErr w:type="spellEnd"/>
      <w:r>
        <w:t xml:space="preserve">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w:t>
      </w:r>
      <w:proofErr w:type="spellStart"/>
      <w:r>
        <w:rPr>
          <w:i/>
        </w:rPr>
        <w:t>curiam</w:t>
      </w:r>
      <w:proofErr w:type="spellEnd"/>
      <w:r>
        <w:rPr>
          <w:i/>
        </w:rPr>
        <w:t xml:space="preserve"> </w:t>
      </w:r>
      <w:r>
        <w:t>opinion concluded, without analysis, that that “the Government had not met that burden” in these cases.</w:t>
      </w:r>
      <w:r>
        <w:rPr>
          <w:b/>
        </w:rPr>
        <w:t xml:space="preserve"> </w:t>
      </w:r>
    </w:p>
    <w:p w:rsidR="000C0D30" w:rsidRPr="002279AE" w:rsidRDefault="000C0D30" w:rsidP="002279AE">
      <w:pPr>
        <w:pStyle w:val="Subhead3sl"/>
      </w:pPr>
      <w:r w:rsidRPr="002279AE">
        <w:t>Concurrences</w:t>
      </w:r>
    </w:p>
    <w:p w:rsidR="000C0D30" w:rsidRDefault="000C0D30"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rsidR="000C0D30" w:rsidRDefault="000C0D30" w:rsidP="002279AE">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rsidR="000C0D30" w:rsidRDefault="000C0D30" w:rsidP="002279AE">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rsidR="000C0D30" w:rsidRDefault="000C0D30" w:rsidP="002279AE">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Because “I cannot say that the disclosure of any of [the documents] will surely result in direct, immediate, and irreparable damage to our Nation or its people,” prohibiting publication would violate the First Amendment.</w:t>
      </w:r>
      <w:r>
        <w:rPr>
          <w:b/>
        </w:rPr>
        <w:t xml:space="preserve"> </w:t>
      </w:r>
    </w:p>
    <w:p w:rsidR="000C0D30" w:rsidRDefault="000C0D30"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rsidR="000C0D30" w:rsidRDefault="000C0D30" w:rsidP="002279AE">
      <w:pPr>
        <w:pStyle w:val="Basiccopysl"/>
      </w:pPr>
      <w:r>
        <w:lastRenderedPageBreak/>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rsidR="000C0D30" w:rsidRPr="00EF1282" w:rsidRDefault="000C0D30" w:rsidP="002279AE">
      <w:pPr>
        <w:pStyle w:val="Subhead3sl"/>
      </w:pPr>
      <w:r w:rsidRPr="00EF1282">
        <w:t>Dissent</w:t>
      </w:r>
      <w:r w:rsidRPr="00AA6373">
        <w:t>s</w:t>
      </w:r>
    </w:p>
    <w:p w:rsidR="000C0D30" w:rsidRDefault="000C0D30" w:rsidP="002279AE">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rsidR="000C0D30" w:rsidRDefault="000C0D30" w:rsidP="002279AE">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rsidR="000C0D30" w:rsidRDefault="000C0D30"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rsidR="000C0D30" w:rsidRDefault="000C0D30" w:rsidP="00497159">
      <w:pPr>
        <w:pStyle w:val="Title2sl"/>
        <w:spacing w:before="240" w:after="120"/>
        <w:sectPr w:rsidR="000C0D30" w:rsidSect="000C0D30">
          <w:headerReference w:type="default" r:id="rId22"/>
          <w:footnotePr>
            <w:numFmt w:val="chicago"/>
          </w:footnotePr>
          <w:pgSz w:w="12240" w:h="15840"/>
          <w:pgMar w:top="1440" w:right="1440" w:bottom="1440" w:left="1440" w:header="720" w:footer="720" w:gutter="0"/>
          <w:cols w:space="720"/>
          <w:docGrid w:linePitch="360"/>
        </w:sectPr>
      </w:pPr>
    </w:p>
    <w:p w:rsidR="000C0D30" w:rsidRPr="00497159" w:rsidRDefault="000C0D30" w:rsidP="000C0D30">
      <w:pPr>
        <w:pStyle w:val="Title2sl"/>
        <w:spacing w:before="240" w:after="120"/>
        <w:jc w:val="center"/>
        <w:rPr>
          <w:i/>
        </w:rPr>
      </w:pPr>
      <w:r w:rsidRPr="000C0D30">
        <w:rPr>
          <w:i/>
        </w:rPr>
        <w:lastRenderedPageBreak/>
        <w:t>Roe v. Wade</w:t>
      </w:r>
      <w:r w:rsidRPr="00497159">
        <w:t xml:space="preserve"> (1973)</w:t>
      </w:r>
    </w:p>
    <w:p w:rsidR="000C0D30" w:rsidRDefault="000C0D30" w:rsidP="00497159">
      <w:pPr>
        <w:pStyle w:val="Basiccopysl"/>
        <w:spacing w:after="0"/>
        <w:jc w:val="center"/>
        <w:rPr>
          <w:b/>
        </w:rPr>
      </w:pPr>
      <w:r w:rsidRPr="00497159">
        <w:rPr>
          <w:b/>
        </w:rPr>
        <w:t>Argued:</w:t>
      </w:r>
      <w:r>
        <w:t xml:space="preserve"> December 13, 1971</w:t>
      </w:r>
    </w:p>
    <w:p w:rsidR="000C0D30" w:rsidRDefault="000C0D30" w:rsidP="00497159">
      <w:pPr>
        <w:pStyle w:val="Basiccopysl"/>
        <w:spacing w:after="0"/>
        <w:jc w:val="center"/>
      </w:pPr>
      <w:r w:rsidRPr="00497159">
        <w:rPr>
          <w:b/>
        </w:rPr>
        <w:t>Reargued:</w:t>
      </w:r>
      <w:r>
        <w:t xml:space="preserve"> October 11, 1972</w:t>
      </w:r>
    </w:p>
    <w:p w:rsidR="000C0D30" w:rsidRDefault="000C0D30" w:rsidP="00497159">
      <w:pPr>
        <w:pStyle w:val="Basiccopysl"/>
        <w:jc w:val="center"/>
        <w:rPr>
          <w:b/>
        </w:rPr>
      </w:pPr>
      <w:r w:rsidRPr="00497159">
        <w:rPr>
          <w:b/>
        </w:rPr>
        <w:t>Decided:</w:t>
      </w:r>
      <w:r>
        <w:t xml:space="preserve"> January 22, 1973</w:t>
      </w:r>
    </w:p>
    <w:p w:rsidR="000C0D30" w:rsidRPr="00497159" w:rsidRDefault="000C0D30" w:rsidP="00497159">
      <w:pPr>
        <w:pStyle w:val="Subhead2sl"/>
      </w:pPr>
      <w:r w:rsidRPr="00497159">
        <w:t>Background</w:t>
      </w:r>
    </w:p>
    <w:p w:rsidR="000C0D30" w:rsidRDefault="000C0D30"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rsidR="000C0D30" w:rsidRDefault="000C0D30"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rsidR="000C0D30" w:rsidRPr="00EB0390" w:rsidRDefault="000C0D30" w:rsidP="00497159">
      <w:pPr>
        <w:pStyle w:val="Subhead2sl"/>
        <w:rPr>
          <w:rFonts w:eastAsia="Times New Roman" w:cs="Calibri"/>
          <w:color w:val="222222"/>
        </w:rPr>
      </w:pPr>
      <w:r w:rsidRPr="00EB0390">
        <w:t>Facts</w:t>
      </w:r>
    </w:p>
    <w:p w:rsidR="000C0D30" w:rsidRPr="00E5000B" w:rsidRDefault="000C0D30"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rsidR="000C0D30" w:rsidRPr="00E34DD4" w:rsidRDefault="000C0D30"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concluded that “[t]</w:t>
      </w:r>
      <w:r w:rsidRPr="00E33238">
        <w:rPr>
          <w:rFonts w:cs="Arial"/>
          <w:shd w:val="clear" w:color="auto" w:fill="FFFFFF"/>
          <w:lang w:val="en"/>
        </w:rPr>
        <w:t xml:space="preserve">he fundamental right of single women and married persons to choose whether to </w:t>
      </w:r>
      <w:r w:rsidRPr="00E33238">
        <w:rPr>
          <w:rFonts w:cs="Arial"/>
          <w:shd w:val="clear" w:color="auto" w:fill="FFFFFF"/>
          <w:lang w:val="en"/>
        </w:rPr>
        <w:lastRenderedPageBreak/>
        <w:t>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rsidR="000C0D30" w:rsidRPr="001602D3" w:rsidRDefault="000C0D30" w:rsidP="00497159">
      <w:pPr>
        <w:pStyle w:val="Subhead2sl"/>
        <w:rPr>
          <w:rFonts w:eastAsia="Times New Roman" w:cs="Calibri"/>
          <w:color w:val="222222"/>
        </w:rPr>
      </w:pPr>
      <w:r w:rsidRPr="001602D3">
        <w:t>Issue</w:t>
      </w:r>
    </w:p>
    <w:p w:rsidR="000C0D30" w:rsidRDefault="000C0D30" w:rsidP="00497159">
      <w:pPr>
        <w:pStyle w:val="Basiccopysl"/>
        <w:rPr>
          <w:b/>
          <w:i/>
        </w:rPr>
      </w:pPr>
      <w:r w:rsidRPr="004E1741">
        <w:t xml:space="preserve">Does </w:t>
      </w:r>
      <w:r>
        <w:t xml:space="preserve">the U.S. Constitution protect the right of a woman to obtain an abortion? </w:t>
      </w:r>
    </w:p>
    <w:p w:rsidR="000C0D30" w:rsidRPr="00497159" w:rsidRDefault="000C0D30" w:rsidP="00497159">
      <w:pPr>
        <w:pStyle w:val="Subhead2sl"/>
      </w:pPr>
      <w:r w:rsidRPr="00497159">
        <w:t xml:space="preserve">Constitutional Amendments and </w:t>
      </w:r>
      <w:r>
        <w:t xml:space="preserve">Supreme Court </w:t>
      </w:r>
      <w:r w:rsidRPr="00497159">
        <w:t>Precedents</w:t>
      </w:r>
    </w:p>
    <w:p w:rsidR="000C0D30" w:rsidRPr="00497159" w:rsidRDefault="000C0D30" w:rsidP="000C0D30">
      <w:pPr>
        <w:pStyle w:val="Bulletsl"/>
        <w:spacing w:before="240" w:line="276" w:lineRule="auto"/>
        <w:rPr>
          <w:b/>
        </w:rPr>
      </w:pPr>
      <w:r w:rsidRPr="00497159">
        <w:rPr>
          <w:b/>
        </w:rPr>
        <w:t xml:space="preserve">Ninth Amendment to the U.S. Constitution </w:t>
      </w:r>
    </w:p>
    <w:p w:rsidR="000C0D30" w:rsidRPr="001602D3" w:rsidRDefault="000C0D30" w:rsidP="00497159">
      <w:pPr>
        <w:pStyle w:val="Basiccopysl"/>
        <w:ind w:left="720"/>
      </w:pPr>
      <w:r w:rsidRPr="001602D3">
        <w:rPr>
          <w:shd w:val="clear" w:color="auto" w:fill="FFFFFF"/>
        </w:rPr>
        <w:t>“The enumeration in the Constitution, of certain rights, shall not be construed to deny or disparage others retained by the people.”</w:t>
      </w:r>
    </w:p>
    <w:p w:rsidR="000C0D30" w:rsidRPr="00497159" w:rsidRDefault="000C0D30" w:rsidP="000C0D30">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rsidR="000C0D30" w:rsidRPr="00497159" w:rsidRDefault="000C0D30"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0C0D30" w:rsidRPr="00497159" w:rsidRDefault="000C0D30" w:rsidP="000C0D30">
      <w:pPr>
        <w:pStyle w:val="Bulletsl"/>
        <w:spacing w:before="240" w:line="276" w:lineRule="auto"/>
        <w:rPr>
          <w:b/>
        </w:rPr>
      </w:pPr>
      <w:r w:rsidRPr="00497159">
        <w:rPr>
          <w:b/>
          <w:i/>
        </w:rPr>
        <w:t>Griswold v. Connecticut</w:t>
      </w:r>
      <w:r w:rsidRPr="00497159">
        <w:rPr>
          <w:b/>
        </w:rPr>
        <w:t xml:space="preserve"> (1965)</w:t>
      </w:r>
    </w:p>
    <w:p w:rsidR="000C0D30" w:rsidRPr="00497159" w:rsidRDefault="000C0D30" w:rsidP="00497159">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rsidR="000C0D30" w:rsidRPr="00497159" w:rsidRDefault="000C0D30" w:rsidP="000C0D30">
      <w:pPr>
        <w:pStyle w:val="Bulletsl"/>
        <w:spacing w:before="240" w:line="276" w:lineRule="auto"/>
        <w:rPr>
          <w:b/>
          <w:i/>
        </w:rPr>
      </w:pPr>
      <w:r w:rsidRPr="00497159">
        <w:rPr>
          <w:b/>
          <w:i/>
        </w:rPr>
        <w:t xml:space="preserve">U.S. v. </w:t>
      </w:r>
      <w:proofErr w:type="spellStart"/>
      <w:r w:rsidRPr="00497159">
        <w:rPr>
          <w:b/>
          <w:i/>
        </w:rPr>
        <w:t>Vuitch</w:t>
      </w:r>
      <w:proofErr w:type="spellEnd"/>
      <w:r w:rsidRPr="00497159">
        <w:rPr>
          <w:b/>
          <w:i/>
        </w:rPr>
        <w:t xml:space="preserve"> </w:t>
      </w:r>
      <w:r w:rsidRPr="00497159">
        <w:rPr>
          <w:b/>
        </w:rPr>
        <w:t>(1971)</w:t>
      </w:r>
    </w:p>
    <w:p w:rsidR="000C0D30" w:rsidRPr="00497159" w:rsidRDefault="000C0D30"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xml:space="preserve">. Dr. </w:t>
      </w:r>
      <w:proofErr w:type="spellStart"/>
      <w:r w:rsidRPr="00497159">
        <w:rPr>
          <w:shd w:val="clear" w:color="auto" w:fill="FFFFFF"/>
        </w:rPr>
        <w:t>Vuitch</w:t>
      </w:r>
      <w:proofErr w:type="spellEnd"/>
      <w:r w:rsidRPr="00497159">
        <w:rPr>
          <w:shd w:val="clear" w:color="auto" w:fill="FFFFFF"/>
        </w:rPr>
        <w:t xml:space="preserve">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rsidR="000C0D30" w:rsidRPr="00497159" w:rsidRDefault="000C0D30" w:rsidP="00497159">
      <w:pPr>
        <w:pStyle w:val="Subhead2sl"/>
      </w:pPr>
      <w:r w:rsidRPr="00497159">
        <w:t xml:space="preserve">Arguments for Roe </w:t>
      </w:r>
    </w:p>
    <w:p w:rsidR="000C0D30" w:rsidRPr="00497159" w:rsidRDefault="000C0D30" w:rsidP="000C0D30">
      <w:pPr>
        <w:pStyle w:val="Bulletsl"/>
        <w:spacing w:line="276" w:lineRule="auto"/>
      </w:pPr>
      <w:r w:rsidRPr="00497159">
        <w:t xml:space="preserve">A woman’s right to privacy is implicitly guaranteed in the First, Fourth, Fifth, Ninth, and </w:t>
      </w:r>
      <w:r>
        <w:t>14</w:t>
      </w:r>
      <w:r w:rsidRPr="007E6BBA">
        <w:t>th</w:t>
      </w:r>
      <w:r>
        <w:t xml:space="preserve"> </w:t>
      </w:r>
      <w:r w:rsidRPr="00497159">
        <w:t xml:space="preserve">Amendments. As the Court ruled in Griswold, there are certain matters—including the </w:t>
      </w:r>
      <w:r w:rsidRPr="00497159">
        <w:lastRenderedPageBreak/>
        <w:t>decision about whether or not to have a child—that are individual decisions protected by the Constitution.</w:t>
      </w:r>
    </w:p>
    <w:p w:rsidR="000C0D30" w:rsidRPr="00497159" w:rsidRDefault="000C0D30" w:rsidP="000C0D30">
      <w:pPr>
        <w:pStyle w:val="Bulletsl"/>
        <w:spacing w:line="276" w:lineRule="auto"/>
      </w:pPr>
      <w:r w:rsidRPr="00497159">
        <w:t xml:space="preserve">Many women had unwanted pregnancies, which had a major impact on their lives. In the 1970s, women could be asked to leave their jobs if they became pregnant, and most </w:t>
      </w:r>
      <w:r>
        <w:t xml:space="preserve">employers </w:t>
      </w:r>
      <w:r w:rsidRPr="00497159">
        <w:t xml:space="preserve">did not </w:t>
      </w:r>
      <w:r>
        <w:t xml:space="preserve">provide </w:t>
      </w:r>
      <w:r w:rsidRPr="00497159">
        <w:t xml:space="preserve">maternity leave. Women could be endangering their careers or finances in addition to their psychological and physical health by being forced to carry a pregnancy to term. </w:t>
      </w:r>
    </w:p>
    <w:p w:rsidR="000C0D30" w:rsidRPr="00497159" w:rsidRDefault="000C0D30" w:rsidP="000C0D30">
      <w:pPr>
        <w:pStyle w:val="Bulletsl"/>
        <w:spacing w:line="276" w:lineRule="auto"/>
      </w:pPr>
      <w:r w:rsidRPr="00497159">
        <w:t xml:space="preserve">Women </w:t>
      </w:r>
      <w:r>
        <w:t xml:space="preserve">in Texas who wish to have an abortion must either </w:t>
      </w:r>
      <w:r w:rsidRPr="00497159">
        <w:t xml:space="preserve">travel to </w:t>
      </w:r>
      <w:r>
        <w:t>anoth</w:t>
      </w:r>
      <w:r w:rsidRPr="00497159">
        <w:t xml:space="preserve">er state where abortion is legal or </w:t>
      </w:r>
      <w:r>
        <w:t xml:space="preserve">undergo an </w:t>
      </w:r>
      <w:r w:rsidRPr="00497159">
        <w:t xml:space="preserve">illegal abortion where conditions </w:t>
      </w:r>
      <w:r>
        <w:t>could</w:t>
      </w:r>
      <w:r w:rsidRPr="00497159">
        <w:t xml:space="preserve"> </w:t>
      </w:r>
      <w:r>
        <w:t>b</w:t>
      </w:r>
      <w:r w:rsidRPr="00497159">
        <w:t xml:space="preserve">e </w:t>
      </w:r>
      <w:r>
        <w:t>un</w:t>
      </w:r>
      <w:r w:rsidRPr="00497159">
        <w:t xml:space="preserve">safe. Travel is costly and inconvenient, thus making </w:t>
      </w:r>
      <w:r>
        <w:t xml:space="preserve">access to a safe, legal </w:t>
      </w:r>
      <w:r w:rsidRPr="00497159">
        <w:t xml:space="preserve">abortion </w:t>
      </w:r>
      <w:r>
        <w:t>more difficult for poor women</w:t>
      </w:r>
      <w:r w:rsidRPr="00497159">
        <w:t>. Illegal abortions put women’s life, health, and well-being at risk.</w:t>
      </w:r>
    </w:p>
    <w:p w:rsidR="000C0D30" w:rsidRPr="00497159" w:rsidRDefault="000C0D30" w:rsidP="000C0D30">
      <w:pPr>
        <w:pStyle w:val="Bulletsl"/>
        <w:spacing w:line="276" w:lineRule="auto"/>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rsidR="000C0D30" w:rsidRPr="00497159" w:rsidRDefault="000C0D30" w:rsidP="000C0D30">
      <w:pPr>
        <w:pStyle w:val="Bulletsl"/>
        <w:spacing w:line="276" w:lineRule="auto"/>
      </w:pPr>
      <w:r w:rsidRPr="00497159">
        <w:t xml:space="preserve">An unborn fetus is not recognized as a person and does not have rights equal to the mother. Abortions were more common in the </w:t>
      </w:r>
      <w:r>
        <w:t xml:space="preserve">19th </w:t>
      </w:r>
      <w:r w:rsidRPr="00497159">
        <w:t xml:space="preserve">century, so it is clear that the framers of the </w:t>
      </w:r>
      <w:r>
        <w:t xml:space="preserve">14th </w:t>
      </w:r>
      <w:r w:rsidRPr="00497159">
        <w:t>Amendment did not intend to include fetuses in the definition of “persons.” No Supreme Court case has established that a fetus is a person and</w:t>
      </w:r>
      <w:r>
        <w:t>, therefore,</w:t>
      </w:r>
      <w:r w:rsidRPr="00497159">
        <w:t xml:space="preserve"> entitled to constitutional rights. </w:t>
      </w:r>
    </w:p>
    <w:p w:rsidR="000C0D30" w:rsidRPr="00497159" w:rsidRDefault="000C0D30" w:rsidP="00497159">
      <w:pPr>
        <w:pStyle w:val="Subhead2sl"/>
      </w:pPr>
      <w:r w:rsidRPr="00497159">
        <w:t xml:space="preserve">Arguments for Wade </w:t>
      </w:r>
    </w:p>
    <w:p w:rsidR="000C0D30" w:rsidRPr="006D14E8" w:rsidRDefault="000C0D30" w:rsidP="000C0D30">
      <w:pPr>
        <w:pStyle w:val="Bulletsl"/>
        <w:spacing w:line="276" w:lineRule="auto"/>
      </w:pPr>
      <w:r>
        <w:t xml:space="preserve">There is no right to abortion guaranteed in the Constitution. It is mentioned nowhere in the text, and there is no reason to believe that those who wrote the 14th Amendment intended to protect that right. </w:t>
      </w:r>
    </w:p>
    <w:p w:rsidR="000C0D30" w:rsidRDefault="000C0D30" w:rsidP="000C0D30">
      <w:pPr>
        <w:pStyle w:val="Bulletsl"/>
        <w:spacing w:line="276" w:lineRule="auto"/>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rsidR="000C0D30" w:rsidRDefault="000C0D30" w:rsidP="000C0D30">
      <w:pPr>
        <w:pStyle w:val="Bulletsl"/>
        <w:spacing w:line="276" w:lineRule="auto"/>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rsidR="000C0D30" w:rsidRDefault="000C0D30" w:rsidP="000C0D30">
      <w:pPr>
        <w:pStyle w:val="Bulletsl"/>
        <w:spacing w:line="276" w:lineRule="auto"/>
      </w:pPr>
      <w:r>
        <w:t xml:space="preserve">Abortion is different from contraception, so the Court’s decision in </w:t>
      </w:r>
      <w:r w:rsidRPr="003676B2">
        <w:rPr>
          <w:i/>
        </w:rPr>
        <w:t>Griswold v. Connecticut</w:t>
      </w:r>
      <w:r>
        <w:t xml:space="preserve"> does not apply here. Contraception prevents creation of life whereas abortion destroys existing life.</w:t>
      </w:r>
    </w:p>
    <w:p w:rsidR="000C0D30" w:rsidRPr="00E34DD4" w:rsidRDefault="000C0D30" w:rsidP="000C0D30">
      <w:pPr>
        <w:pStyle w:val="Bulletsl"/>
        <w:spacing w:line="276" w:lineRule="auto"/>
      </w:pPr>
      <w:r>
        <w:lastRenderedPageBreak/>
        <w:t>Abortion</w:t>
      </w:r>
      <w:r w:rsidRPr="00E34DD4">
        <w:t xml:space="preserve"> </w:t>
      </w:r>
      <w:r>
        <w:t>i</w:t>
      </w:r>
      <w:r w:rsidRPr="00497159">
        <w:t xml:space="preserve">s a policy matter best left to the state legislatures to decide. As elected officials, </w:t>
      </w:r>
      <w:r>
        <w:t>legislators</w:t>
      </w:r>
      <w:r w:rsidRPr="00497159">
        <w:t xml:space="preserve"> make laws that reflect the popular will and morality of the people—as they have done here. The prohibition against abortion in Texas </w:t>
      </w:r>
      <w:r>
        <w:t xml:space="preserve">has </w:t>
      </w:r>
      <w:r w:rsidRPr="00497159">
        <w:t>existed since 1854.</w:t>
      </w:r>
    </w:p>
    <w:p w:rsidR="000C0D30" w:rsidRPr="0082428A" w:rsidRDefault="000C0D30" w:rsidP="0082428A">
      <w:pPr>
        <w:pStyle w:val="Subhead2sl"/>
      </w:pPr>
      <w:r w:rsidRPr="0082428A">
        <w:rPr>
          <w:rStyle w:val="Subhead2slChar"/>
          <w:b/>
          <w:i/>
        </w:rPr>
        <w:t>Decision</w:t>
      </w:r>
    </w:p>
    <w:p w:rsidR="000C0D30" w:rsidRPr="00497159" w:rsidRDefault="000C0D30"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rsidR="000C0D30" w:rsidRPr="00497159" w:rsidRDefault="000C0D30" w:rsidP="00497159">
      <w:pPr>
        <w:pStyle w:val="Subhead3sl"/>
      </w:pPr>
      <w:r w:rsidRPr="00497159">
        <w:t>Majority</w:t>
      </w:r>
    </w:p>
    <w:p w:rsidR="000C0D30" w:rsidRPr="00E5000B" w:rsidRDefault="000C0D30" w:rsidP="00497159">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82428A">
        <w:t>th</w:t>
      </w:r>
      <w:r>
        <w:t xml:space="preserve"> Amendment, </w:t>
      </w:r>
      <w:r w:rsidRPr="00E5000B">
        <w:t>which prohibits states from “</w:t>
      </w:r>
      <w:proofErr w:type="spellStart"/>
      <w:r w:rsidRPr="00E5000B">
        <w:t>depriv</w:t>
      </w:r>
      <w:proofErr w:type="spellEnd"/>
      <w:r w:rsidRPr="00E5000B">
        <w:t>[</w:t>
      </w:r>
      <w:proofErr w:type="spellStart"/>
      <w:r w:rsidRPr="00E5000B">
        <w:t>ing</w:t>
      </w:r>
      <w:proofErr w:type="spellEnd"/>
      <w:r w:rsidRPr="00E5000B">
        <w:t>] any person of … liberty … without due process of law</w:t>
      </w:r>
      <w:r>
        <w:t>.</w:t>
      </w:r>
      <w:r w:rsidRPr="00E5000B">
        <w:t xml:space="preserve">” </w:t>
      </w:r>
      <w:r>
        <w:t xml:space="preserve">According to the majority, the “liberty” protected by the 14th 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rsidR="000C0D30" w:rsidRPr="00E5000B" w:rsidRDefault="000C0D30"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t>
      </w:r>
      <w:proofErr w:type="gramStart"/>
      <w:r w:rsidRPr="00E5000B">
        <w:t>woman’s</w:t>
      </w:r>
      <w:proofErr w:type="gramEnd"/>
      <w:r w:rsidRPr="00E5000B">
        <w:t xml:space="preserve">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rsidR="000C0D30" w:rsidRPr="001602D3" w:rsidRDefault="000C0D30" w:rsidP="00497159">
      <w:pPr>
        <w:pStyle w:val="Basiccopysl"/>
      </w:pPr>
      <w:r>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w:t>
      </w:r>
      <w:r w:rsidRPr="00E5000B">
        <w:lastRenderedPageBreak/>
        <w:t xml:space="preserve">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rsidR="000C0D30" w:rsidRPr="00497159" w:rsidRDefault="000C0D30" w:rsidP="00497159">
      <w:pPr>
        <w:pStyle w:val="Subhead3sl"/>
      </w:pPr>
      <w:r w:rsidRPr="00497159">
        <w:t xml:space="preserve">Concurrences </w:t>
      </w:r>
    </w:p>
    <w:p w:rsidR="000C0D30" w:rsidRPr="00E34DD4" w:rsidRDefault="000C0D30"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14th Amendment. Justice Douglas rejected Justice Stewart’s invocation of “substantive” due process, but agreed that the constitutional right at issue was based in the term “liberty” in the Due Process Clause of the 14th Amendment. Chief Justice Burger underscored that “the Court today rejects any claim that the Constitution requires abortions on demand.” </w:t>
      </w:r>
    </w:p>
    <w:p w:rsidR="000C0D30" w:rsidRPr="00E34DD4" w:rsidRDefault="000C0D30" w:rsidP="00497159">
      <w:pPr>
        <w:pStyle w:val="Subhead3sl"/>
      </w:pPr>
      <w:r w:rsidRPr="00E34DD4">
        <w:t>Dissent</w:t>
      </w:r>
      <w:r>
        <w:t>s</w:t>
      </w:r>
    </w:p>
    <w:p w:rsidR="000C0D30" w:rsidRDefault="000C0D30"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abortion did not fit within the right of “privacy” recognized in the Court’s previous cases and characterizing the decision as “</w:t>
      </w:r>
      <w:proofErr w:type="spellStart"/>
      <w:r>
        <w:rPr>
          <w:rFonts w:eastAsia="Times New Roman" w:cs="Calibri"/>
          <w:color w:val="222222"/>
        </w:rPr>
        <w:t>partak</w:t>
      </w:r>
      <w:proofErr w:type="spellEnd"/>
      <w:r>
        <w:rPr>
          <w:rFonts w:eastAsia="Times New Roman" w:cs="Calibri"/>
          <w:color w:val="222222"/>
        </w:rPr>
        <w:t>[</w:t>
      </w:r>
      <w:proofErr w:type="spellStart"/>
      <w:r>
        <w:rPr>
          <w:rFonts w:eastAsia="Times New Roman" w:cs="Calibri"/>
          <w:color w:val="222222"/>
        </w:rPr>
        <w:t>ing</w:t>
      </w:r>
      <w:proofErr w:type="spellEnd"/>
      <w:r>
        <w:rPr>
          <w:rFonts w:eastAsia="Times New Roman" w:cs="Calibri"/>
          <w:color w:val="222222"/>
        </w:rPr>
        <w:t xml:space="preserve">]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rsidR="000C0D30" w:rsidRDefault="000C0D30" w:rsidP="002D2DBF">
      <w:pPr>
        <w:pStyle w:val="Title2sl"/>
        <w:jc w:val="center"/>
        <w:rPr>
          <w:i/>
        </w:rPr>
        <w:sectPr w:rsidR="000C0D30" w:rsidSect="000C0D30">
          <w:headerReference w:type="default" r:id="rId23"/>
          <w:footnotePr>
            <w:numFmt w:val="chicago"/>
          </w:footnotePr>
          <w:pgSz w:w="12240" w:h="15840"/>
          <w:pgMar w:top="1440" w:right="1440" w:bottom="1440" w:left="1440" w:header="720" w:footer="720" w:gutter="0"/>
          <w:cols w:space="720"/>
          <w:docGrid w:linePitch="360"/>
        </w:sectPr>
      </w:pPr>
    </w:p>
    <w:p w:rsidR="000C0D30" w:rsidRPr="002D2DBF" w:rsidRDefault="000C0D30" w:rsidP="002D2DBF">
      <w:pPr>
        <w:pStyle w:val="Title2sl"/>
        <w:jc w:val="center"/>
      </w:pPr>
      <w:proofErr w:type="spellStart"/>
      <w:r w:rsidRPr="002D2DBF">
        <w:rPr>
          <w:i/>
        </w:rPr>
        <w:lastRenderedPageBreak/>
        <w:t>Schenck</w:t>
      </w:r>
      <w:proofErr w:type="spellEnd"/>
      <w:r w:rsidRPr="002D2DBF">
        <w:rPr>
          <w:i/>
        </w:rPr>
        <w:t xml:space="preserve"> v. U.S.</w:t>
      </w:r>
      <w:r>
        <w:rPr>
          <w:i/>
        </w:rPr>
        <w:t xml:space="preserve"> </w:t>
      </w:r>
      <w:r>
        <w:t>(1919)</w:t>
      </w:r>
    </w:p>
    <w:p w:rsidR="000C0D30" w:rsidRPr="00B81D80" w:rsidRDefault="000C0D30" w:rsidP="002D2DBF">
      <w:pPr>
        <w:pStyle w:val="Basiccopysl"/>
        <w:spacing w:after="0"/>
        <w:jc w:val="center"/>
        <w:rPr>
          <w:b/>
          <w:i/>
        </w:rPr>
      </w:pPr>
      <w:r w:rsidRPr="002D2DBF">
        <w:rPr>
          <w:b/>
        </w:rPr>
        <w:t>Argued:</w:t>
      </w:r>
      <w:r w:rsidRPr="00B81D80">
        <w:t xml:space="preserve"> January 9, 10, 1919</w:t>
      </w:r>
    </w:p>
    <w:p w:rsidR="000C0D30" w:rsidRPr="00B81D80" w:rsidRDefault="000C0D30" w:rsidP="002D2DBF">
      <w:pPr>
        <w:pStyle w:val="Basiccopysl"/>
        <w:jc w:val="center"/>
        <w:rPr>
          <w:b/>
          <w:i/>
        </w:rPr>
      </w:pPr>
      <w:r w:rsidRPr="002D2DBF">
        <w:rPr>
          <w:b/>
        </w:rPr>
        <w:t>Decided:</w:t>
      </w:r>
      <w:r w:rsidRPr="00B81D80">
        <w:t xml:space="preserve"> March 3, 1919</w:t>
      </w:r>
    </w:p>
    <w:p w:rsidR="000C0D30" w:rsidRPr="002D2DBF" w:rsidRDefault="000C0D30" w:rsidP="002D2DBF">
      <w:pPr>
        <w:pStyle w:val="Subhead2sl"/>
      </w:pPr>
      <w:r w:rsidRPr="002D2DBF">
        <w:t>Background</w:t>
      </w:r>
    </w:p>
    <w:p w:rsidR="000C0D30" w:rsidRDefault="000C0D30"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security concerns, or times of war, permit the government to place additional restrictions on speech. </w:t>
      </w:r>
    </w:p>
    <w:p w:rsidR="000C0D30" w:rsidRDefault="000C0D30"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rsidR="000C0D30" w:rsidRPr="002D2DBF" w:rsidRDefault="000C0D30" w:rsidP="002D2DBF">
      <w:pPr>
        <w:pStyle w:val="Subhead2sl"/>
      </w:pPr>
      <w:r w:rsidRPr="002D2DBF">
        <w:t>Facts</w:t>
      </w:r>
    </w:p>
    <w:p w:rsidR="000C0D30" w:rsidRPr="00B81D80" w:rsidRDefault="000C0D30" w:rsidP="002D2DBF">
      <w:pPr>
        <w:pStyle w:val="Basiccopysl"/>
        <w:rPr>
          <w:b/>
          <w:i/>
        </w:rPr>
      </w:pPr>
      <w:r w:rsidRPr="00B81D80">
        <w:t xml:space="preserve">Charles T. </w:t>
      </w:r>
      <w:proofErr w:type="spellStart"/>
      <w:r w:rsidRPr="00B81D80">
        <w:t>Schenck</w:t>
      </w:r>
      <w:proofErr w:type="spellEnd"/>
      <w:r w:rsidRPr="00B81D80">
        <w:t xml:space="preserve">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w:t>
      </w:r>
      <w:proofErr w:type="spellStart"/>
      <w:r w:rsidRPr="00B81D80">
        <w:t>Schen</w:t>
      </w:r>
      <w:r>
        <w:t>c</w:t>
      </w:r>
      <w:r w:rsidRPr="00B81D80">
        <w:t>k</w:t>
      </w:r>
      <w:proofErr w:type="spellEnd"/>
      <w:r w:rsidRPr="00B81D80">
        <w:t xml:space="preserve">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rsidR="000C0D30" w:rsidRPr="00B81D80" w:rsidRDefault="000C0D30"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w:t>
      </w:r>
      <w:proofErr w:type="spellStart"/>
      <w:r w:rsidRPr="00B81D80">
        <w:t>Schenck’s</w:t>
      </w:r>
      <w:proofErr w:type="spellEnd"/>
      <w:r w:rsidRPr="00B81D80">
        <w:t xml:space="preserve">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rsidR="000C0D30" w:rsidRDefault="000C0D30" w:rsidP="002D2DBF">
      <w:pPr>
        <w:pStyle w:val="Basiccopysl"/>
        <w:rPr>
          <w:b/>
          <w:i/>
        </w:rPr>
      </w:pPr>
      <w:r w:rsidRPr="00B81D80">
        <w:t>On the reverse</w:t>
      </w:r>
      <w:r>
        <w:t xml:space="preserve"> side</w:t>
      </w:r>
      <w:r w:rsidRPr="00B81D80">
        <w:t xml:space="preserve"> entitled “Assert Your Rights!</w:t>
      </w:r>
      <w:proofErr w:type="gramStart"/>
      <w:r w:rsidRPr="00B81D80">
        <w:t>”</w:t>
      </w:r>
      <w:r>
        <w:t>,</w:t>
      </w:r>
      <w:proofErr w:type="gramEnd"/>
      <w:r w:rsidRPr="00B81D80">
        <w:t xml:space="preserve"> </w:t>
      </w:r>
      <w:proofErr w:type="spellStart"/>
      <w:r w:rsidRPr="00B81D80">
        <w:t>Schenck</w:t>
      </w:r>
      <w:proofErr w:type="spellEnd"/>
      <w:r w:rsidRPr="00B81D80">
        <w:t xml:space="preserve">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rsidR="000C0D30" w:rsidRPr="00B81D80" w:rsidRDefault="000C0D30" w:rsidP="002D2DBF">
      <w:pPr>
        <w:pStyle w:val="Basiccopysl"/>
      </w:pPr>
      <w:r>
        <w:t xml:space="preserve">After </w:t>
      </w:r>
      <w:proofErr w:type="spellStart"/>
      <w:r>
        <w:t>Schenck’s</w:t>
      </w:r>
      <w:proofErr w:type="spellEnd"/>
      <w:r>
        <w:t xml:space="preserve">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rsidR="000C0D30" w:rsidRPr="002D2DBF" w:rsidRDefault="000C0D30" w:rsidP="002D2DBF">
      <w:pPr>
        <w:pStyle w:val="Subhead2sl"/>
      </w:pPr>
      <w:r w:rsidRPr="002D2DBF">
        <w:lastRenderedPageBreak/>
        <w:t>Issue</w:t>
      </w:r>
    </w:p>
    <w:p w:rsidR="000C0D30" w:rsidRPr="00B81D80" w:rsidRDefault="000C0D30" w:rsidP="002D2DBF">
      <w:pPr>
        <w:pStyle w:val="Basiccopysl"/>
        <w:rPr>
          <w:b/>
          <w:i/>
        </w:rPr>
      </w:pPr>
      <w:r>
        <w:t xml:space="preserve">Did </w:t>
      </w:r>
      <w:proofErr w:type="spellStart"/>
      <w:r>
        <w:t>Schenck’s</w:t>
      </w:r>
      <w:proofErr w:type="spellEnd"/>
      <w:r>
        <w:t xml:space="preserve"> conviction under the Espionage Act for criticizing the draft violate his First Amendment free speech rights? </w:t>
      </w:r>
    </w:p>
    <w:p w:rsidR="000C0D30" w:rsidRPr="002D2DBF" w:rsidRDefault="000C0D30" w:rsidP="002D2DBF">
      <w:pPr>
        <w:pStyle w:val="Subhead2sl"/>
      </w:pPr>
      <w:r w:rsidRPr="002D2DBF">
        <w:t xml:space="preserve">Constitutional </w:t>
      </w:r>
      <w:r>
        <w:t>Provisions and Federal Statutes</w:t>
      </w:r>
    </w:p>
    <w:p w:rsidR="000C0D30" w:rsidRPr="002D2DBF" w:rsidRDefault="000C0D30" w:rsidP="002D2DBF">
      <w:pPr>
        <w:pStyle w:val="Bulletsl"/>
        <w:spacing w:before="240"/>
        <w:rPr>
          <w:b/>
          <w:i/>
        </w:rPr>
      </w:pPr>
      <w:r>
        <w:rPr>
          <w:b/>
        </w:rPr>
        <w:t xml:space="preserve">First Amendment to the </w:t>
      </w:r>
      <w:r w:rsidRPr="002D2DBF">
        <w:rPr>
          <w:b/>
        </w:rPr>
        <w:t>U.S. Constitution</w:t>
      </w:r>
      <w:r>
        <w:rPr>
          <w:b/>
        </w:rPr>
        <w:t xml:space="preserve"> </w:t>
      </w:r>
    </w:p>
    <w:p w:rsidR="000C0D30" w:rsidRPr="00B81D80" w:rsidRDefault="000C0D30"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rsidR="000C0D30" w:rsidRPr="002D2DBF" w:rsidRDefault="000C0D30" w:rsidP="002D2DBF">
      <w:pPr>
        <w:pStyle w:val="Bulletsl"/>
        <w:spacing w:before="240"/>
        <w:rPr>
          <w:b/>
        </w:rPr>
      </w:pPr>
      <w:r w:rsidRPr="002D2DBF">
        <w:rPr>
          <w:b/>
        </w:rPr>
        <w:t>Espionage Act, Section 3</w:t>
      </w:r>
    </w:p>
    <w:p w:rsidR="000C0D30" w:rsidRDefault="000C0D30"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rsidR="000C0D30" w:rsidRPr="002D2DBF" w:rsidRDefault="000C0D30" w:rsidP="002D2DBF">
      <w:pPr>
        <w:pStyle w:val="Subhead2sl"/>
      </w:pPr>
      <w:r w:rsidRPr="002D2DBF">
        <w:t xml:space="preserve">Arguments for </w:t>
      </w:r>
      <w:proofErr w:type="spellStart"/>
      <w:r w:rsidRPr="002D2DBF">
        <w:t>Schenck</w:t>
      </w:r>
      <w:proofErr w:type="spellEnd"/>
    </w:p>
    <w:p w:rsidR="000C0D30" w:rsidRPr="00B81D80" w:rsidRDefault="000C0D30"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rsidR="000C0D30" w:rsidRDefault="000C0D30" w:rsidP="002D2DBF">
      <w:pPr>
        <w:pStyle w:val="Bulletsl"/>
        <w:spacing w:line="276" w:lineRule="auto"/>
        <w:rPr>
          <w:b/>
          <w:i/>
        </w:rPr>
      </w:pPr>
      <w:r w:rsidRPr="00B81D80">
        <w:t>The First Amendment must protect the free discussion of public matters</w:t>
      </w:r>
      <w:r>
        <w:t xml:space="preserve">. This practice helps hold government officials accountable and promotes transparency. </w:t>
      </w:r>
      <w:proofErr w:type="spellStart"/>
      <w:r>
        <w:t>Schenck</w:t>
      </w:r>
      <w:proofErr w:type="spellEnd"/>
      <w:r>
        <w:t xml:space="preserve"> was simply sharing his opinions about important government actions and policies.</w:t>
      </w:r>
    </w:p>
    <w:p w:rsidR="000C0D30" w:rsidRPr="00195DBB" w:rsidRDefault="000C0D30"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rsidR="000C0D30" w:rsidRPr="00B81D80" w:rsidRDefault="000C0D30" w:rsidP="002D2DBF">
      <w:pPr>
        <w:pStyle w:val="Bulletsl"/>
        <w:spacing w:line="276" w:lineRule="auto"/>
      </w:pPr>
      <w:proofErr w:type="spellStart"/>
      <w:r w:rsidRPr="00DC6CB7">
        <w:t>Schen</w:t>
      </w:r>
      <w:r>
        <w:t>c</w:t>
      </w:r>
      <w:r w:rsidRPr="00DC6CB7">
        <w:t>k</w:t>
      </w:r>
      <w:proofErr w:type="spellEnd"/>
      <w:r w:rsidRPr="00DC6CB7">
        <w:t xml:space="preserve">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rsidR="000C0D30" w:rsidRPr="002D2DBF" w:rsidRDefault="000C0D30" w:rsidP="002D2DBF">
      <w:pPr>
        <w:pStyle w:val="Subhead2sl"/>
        <w:rPr>
          <w:rStyle w:val="Subhead2slChar"/>
          <w:b/>
          <w:i/>
        </w:rPr>
      </w:pPr>
      <w:r w:rsidRPr="002D2DBF">
        <w:t xml:space="preserve">Arguments for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lastRenderedPageBreak/>
        <w:t xml:space="preserve">In distributing the flier, </w:t>
      </w:r>
      <w:proofErr w:type="spellStart"/>
      <w:r w:rsidRPr="002D2DBF">
        <w:rPr>
          <w:rStyle w:val="Subhead2slChar"/>
          <w:rFonts w:ascii="Garamond" w:hAnsi="Garamond"/>
          <w:b w:val="0"/>
          <w:i w:val="0"/>
        </w:rPr>
        <w:t>Schenck</w:t>
      </w:r>
      <w:proofErr w:type="spellEnd"/>
      <w:r w:rsidRPr="002D2DBF">
        <w:rPr>
          <w:rStyle w:val="Subhead2slChar"/>
          <w:rFonts w:ascii="Garamond" w:hAnsi="Garamond"/>
          <w:b w:val="0"/>
          <w:i w:val="0"/>
        </w:rPr>
        <w:t xml:space="preserve"> and Baer possessed a clear intent to persuade others to not enlist. That is a violation of the Espionage Act, which prohibits “willfully…obstruct[</w:t>
      </w:r>
      <w:proofErr w:type="spellStart"/>
      <w:r w:rsidRPr="002D2DBF">
        <w:rPr>
          <w:rStyle w:val="Subhead2slChar"/>
          <w:rFonts w:ascii="Garamond" w:hAnsi="Garamond"/>
          <w:b w:val="0"/>
          <w:i w:val="0"/>
        </w:rPr>
        <w:t>ing</w:t>
      </w:r>
      <w:proofErr w:type="spellEnd"/>
      <w:r w:rsidRPr="002D2DBF">
        <w:rPr>
          <w:rStyle w:val="Subhead2slChar"/>
          <w:rFonts w:ascii="Garamond" w:hAnsi="Garamond"/>
          <w:b w:val="0"/>
          <w:i w:val="0"/>
        </w:rPr>
        <w:t xml:space="preserve">] the recruiting or enlistment service of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rsidR="000C0D30" w:rsidRPr="002D2DBF" w:rsidRDefault="000C0D30" w:rsidP="002D2DBF">
      <w:pPr>
        <w:pStyle w:val="Subhead2sl"/>
        <w:rPr>
          <w:rStyle w:val="Subhead2slChar"/>
          <w:b/>
          <w:i/>
        </w:rPr>
      </w:pPr>
      <w:r w:rsidRPr="002D2DBF">
        <w:rPr>
          <w:rStyle w:val="Subhead2slChar"/>
          <w:b/>
          <w:i/>
        </w:rPr>
        <w:t>Decision</w:t>
      </w:r>
    </w:p>
    <w:p w:rsidR="000C0D30" w:rsidRPr="00B81D80" w:rsidRDefault="000C0D30" w:rsidP="002D2DBF">
      <w:pPr>
        <w:pStyle w:val="Basiccopysl"/>
        <w:rPr>
          <w:b/>
        </w:rPr>
      </w:pPr>
      <w:r w:rsidRPr="00B81D80">
        <w:t xml:space="preserve">Justice Oliver Wendell Holmes delivered the unanimous opinion for the Court in favor of the United States, joined by Chief Justice White and Justices McKenna, Day, van </w:t>
      </w:r>
      <w:proofErr w:type="spellStart"/>
      <w:r w:rsidRPr="00B81D80">
        <w:t>Devanter</w:t>
      </w:r>
      <w:proofErr w:type="spellEnd"/>
      <w:r w:rsidRPr="00B81D80">
        <w:t xml:space="preserve">, Pitney, McReynolds, Brandeis, and Clarke. </w:t>
      </w:r>
    </w:p>
    <w:p w:rsidR="000C0D30" w:rsidRPr="00B81D80" w:rsidRDefault="000C0D30"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rsidR="000C0D30" w:rsidRPr="00B81D80" w:rsidRDefault="000C0D30"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rsidR="000C0D30" w:rsidRDefault="000C0D30"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rsidR="000C0D30" w:rsidRPr="00393BB6" w:rsidRDefault="000C0D30" w:rsidP="002D2DBF">
      <w:pPr>
        <w:pStyle w:val="Basiccopysl"/>
      </w:pPr>
      <w:proofErr w:type="spellStart"/>
      <w:r>
        <w:rPr>
          <w:rFonts w:cs="Arial"/>
          <w:i/>
          <w:iCs/>
          <w:color w:val="222222"/>
          <w:shd w:val="clear" w:color="auto" w:fill="FFFFFF"/>
        </w:rPr>
        <w:t>Schenck</w:t>
      </w:r>
      <w:proofErr w:type="spellEnd"/>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p w:rsidR="000C0D30" w:rsidRDefault="000C0D30" w:rsidP="008F2827">
      <w:pPr>
        <w:pStyle w:val="Title2sl"/>
        <w:jc w:val="center"/>
        <w:rPr>
          <w:i/>
        </w:rPr>
        <w:sectPr w:rsidR="000C0D30" w:rsidSect="000C0D30">
          <w:headerReference w:type="default" r:id="rId24"/>
          <w:footnotePr>
            <w:numFmt w:val="chicago"/>
          </w:footnotePr>
          <w:pgSz w:w="12240" w:h="15840"/>
          <w:pgMar w:top="1440" w:right="1440" w:bottom="1440" w:left="1440" w:header="720" w:footer="720" w:gutter="0"/>
          <w:cols w:space="720"/>
          <w:docGrid w:linePitch="360"/>
        </w:sectPr>
      </w:pPr>
    </w:p>
    <w:p w:rsidR="000C0D30" w:rsidRPr="008F2827" w:rsidRDefault="000C0D30" w:rsidP="008F2827">
      <w:pPr>
        <w:pStyle w:val="Title2sl"/>
        <w:jc w:val="center"/>
        <w:rPr>
          <w:i/>
        </w:rPr>
      </w:pPr>
      <w:r w:rsidRPr="008F2827">
        <w:rPr>
          <w:i/>
        </w:rPr>
        <w:lastRenderedPageBreak/>
        <w:t>Shaw v. Reno</w:t>
      </w:r>
      <w:r>
        <w:rPr>
          <w:i/>
        </w:rPr>
        <w:t xml:space="preserve"> </w:t>
      </w:r>
      <w:r w:rsidRPr="00F05CA2">
        <w:t>(1993)</w:t>
      </w:r>
    </w:p>
    <w:p w:rsidR="000C0D30" w:rsidRDefault="000C0D30" w:rsidP="00FE73FC">
      <w:pPr>
        <w:pStyle w:val="Basiccopycenteredsl"/>
        <w:spacing w:after="0"/>
        <w:rPr>
          <w:b w:val="0"/>
        </w:rPr>
      </w:pPr>
      <w:r>
        <w:t xml:space="preserve">Argued: </w:t>
      </w:r>
      <w:r>
        <w:rPr>
          <w:b w:val="0"/>
        </w:rPr>
        <w:t>April 20, 1993</w:t>
      </w:r>
    </w:p>
    <w:p w:rsidR="000C0D30" w:rsidRPr="00DE2BBC" w:rsidRDefault="000C0D30" w:rsidP="00FE73FC">
      <w:pPr>
        <w:pStyle w:val="Basiccopycenteredsl"/>
        <w:spacing w:after="0"/>
        <w:rPr>
          <w:b w:val="0"/>
        </w:rPr>
      </w:pPr>
      <w:r w:rsidRPr="00F41E93">
        <w:t>Decided</w:t>
      </w:r>
      <w:r>
        <w:rPr>
          <w:b w:val="0"/>
        </w:rPr>
        <w:t>: June 28, 1993</w:t>
      </w:r>
    </w:p>
    <w:p w:rsidR="000C0D30" w:rsidRPr="00163850" w:rsidRDefault="000C0D30" w:rsidP="008F2827">
      <w:pPr>
        <w:pStyle w:val="Subhead2sl"/>
      </w:pPr>
      <w:r>
        <w:t>Background</w:t>
      </w:r>
    </w:p>
    <w:p w:rsidR="000C0D30" w:rsidRDefault="000C0D30" w:rsidP="00FE73FC">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 and felon disenfranchisement were among the practices commonly used to suppress black voting. </w:t>
      </w:r>
    </w:p>
    <w:p w:rsidR="000C0D30" w:rsidRDefault="000C0D30" w:rsidP="00FE73FC">
      <w:pPr>
        <w:pStyle w:val="Basiccopysl"/>
      </w:pPr>
      <w:r>
        <w:t xml:space="preserve">In order to prevent states from suppressing the right of African-Americans and other 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rsidR="000C0D30" w:rsidRDefault="000C0D30" w:rsidP="00FE73FC">
      <w:pPr>
        <w:pStyle w:val="Basiccopysl"/>
      </w:pPr>
      <w:r>
        <w:t xml:space="preserve">In </w:t>
      </w:r>
      <w:r w:rsidRPr="00B444BC">
        <w:rPr>
          <w:i/>
        </w:rPr>
        <w:t xml:space="preserve">Thornburg v. </w:t>
      </w:r>
      <w:proofErr w:type="spellStart"/>
      <w:r w:rsidRPr="00B444BC">
        <w:rPr>
          <w:i/>
        </w:rPr>
        <w:t>Gingles</w:t>
      </w:r>
      <w:proofErr w:type="spellEnd"/>
      <w:r>
        <w:t xml:space="preserve"> (1986), the Supreme Court ruled that if voting is racially polarized, and if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rsidR="000C0D30" w:rsidRPr="00163850" w:rsidRDefault="000C0D30" w:rsidP="008F2827">
      <w:pPr>
        <w:pStyle w:val="Subhead2sl"/>
      </w:pPr>
      <w:r w:rsidRPr="00163850">
        <w:t xml:space="preserve">Facts </w:t>
      </w:r>
    </w:p>
    <w:p w:rsidR="000C0D30" w:rsidRDefault="000C0D30" w:rsidP="008F2827">
      <w:pPr>
        <w:pStyle w:val="Basiccopysl"/>
      </w:pPr>
      <w:r>
        <w:t>Between 1865 and 1993</w:t>
      </w:r>
      <w:r w:rsidRPr="00163850">
        <w:t>, the state of North Carolina</w:t>
      </w:r>
      <w:r>
        <w:t xml:space="preserve"> elected only seven African-Americans to the U.S. 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U.S. Department of Justice. The attorney general rejected the North Carolina state legislature’s first </w:t>
      </w:r>
      <w:r>
        <w:lastRenderedPageBreak/>
        <w:t xml:space="preserve">redistricting plan because it created only one majority-minority district. The Department of Justice said that a second majority-minority district could also be created. </w:t>
      </w:r>
    </w:p>
    <w:p w:rsidR="000C0D30" w:rsidRPr="00842CA0" w:rsidRDefault="000C0D30" w:rsidP="008F2827">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w:rsidR="000C0D30" w:rsidRDefault="000C0D30" w:rsidP="008F2827">
      <w:pPr>
        <w:pStyle w:val="Basiccopysl"/>
      </w:pPr>
      <w:r>
        <w:t xml:space="preserve">Five white voters filed a lawsuit against both state and federal officials in the </w:t>
      </w:r>
      <w:r w:rsidRPr="00E86AAB">
        <w:t>U</w:t>
      </w:r>
      <w:r>
        <w:t>.</w:t>
      </w:r>
      <w:r w:rsidRPr="00E86AAB">
        <w:t>S</w:t>
      </w:r>
      <w:r>
        <w:t xml:space="preserve">. </w:t>
      </w:r>
      <w:r w:rsidRPr="00E86AAB">
        <w:t>District Court for the Eas</w:t>
      </w:r>
      <w:r>
        <w:t>tern District of North Carolina.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rsidR="000C0D30" w:rsidRPr="00163850" w:rsidRDefault="000C0D30" w:rsidP="008F2827">
      <w:pPr>
        <w:pStyle w:val="Subhead2sl"/>
      </w:pPr>
      <w:r w:rsidRPr="00163850">
        <w:t>Issue</w:t>
      </w:r>
    </w:p>
    <w:p w:rsidR="000C0D30" w:rsidRPr="00163850" w:rsidRDefault="000C0D30" w:rsidP="008F282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rsidR="000C0D30" w:rsidRPr="00163850" w:rsidRDefault="000C0D30" w:rsidP="008F2827">
      <w:pPr>
        <w:pStyle w:val="Subhead2sl"/>
      </w:pPr>
      <w:r w:rsidRPr="00163850">
        <w:t xml:space="preserve">Constitutional Amendments and </w:t>
      </w:r>
      <w:r>
        <w:t xml:space="preserve">Supreme Court </w:t>
      </w:r>
      <w:r w:rsidRPr="00163850">
        <w:t>Precedents</w:t>
      </w:r>
    </w:p>
    <w:p w:rsidR="000C0D30" w:rsidRPr="008F2827" w:rsidRDefault="000C0D30" w:rsidP="008F2827">
      <w:pPr>
        <w:pStyle w:val="Bulletsl"/>
        <w:spacing w:before="240"/>
        <w:rPr>
          <w:b/>
        </w:rPr>
      </w:pPr>
      <w:r w:rsidRPr="008F2827">
        <w:rPr>
          <w:b/>
        </w:rPr>
        <w:t>14</w:t>
      </w:r>
      <w:r w:rsidRPr="008F2827">
        <w:rPr>
          <w:b/>
          <w:vertAlign w:val="superscript"/>
        </w:rPr>
        <w:t>th</w:t>
      </w:r>
      <w:r w:rsidRPr="008F2827">
        <w:rPr>
          <w:b/>
        </w:rPr>
        <w:t xml:space="preserve"> Amendment to the U.S. Constitution</w:t>
      </w:r>
    </w:p>
    <w:p w:rsidR="000C0D30" w:rsidRDefault="000C0D30" w:rsidP="008F282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w:rsidR="000C0D30" w:rsidRPr="008F2827" w:rsidRDefault="000C0D30" w:rsidP="008F2827">
      <w:pPr>
        <w:pStyle w:val="Bulletsl"/>
        <w:spacing w:before="240"/>
        <w:rPr>
          <w:b/>
        </w:rPr>
      </w:pPr>
      <w:r w:rsidRPr="008F2827">
        <w:rPr>
          <w:b/>
        </w:rPr>
        <w:t>15th Amendment to the U.S. Constitution</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rsidR="000C0D30" w:rsidRPr="008F2827" w:rsidRDefault="000C0D30" w:rsidP="34C36DBF">
      <w:pPr>
        <w:pStyle w:val="Bulletsl"/>
        <w:spacing w:before="240"/>
        <w:rPr>
          <w:b/>
          <w:bCs/>
        </w:rPr>
      </w:pPr>
      <w:r w:rsidRPr="34C36DBF">
        <w:rPr>
          <w:b/>
          <w:bCs/>
          <w:i/>
          <w:iCs/>
        </w:rPr>
        <w:t>Gomillion v. Lightfoot</w:t>
      </w:r>
      <w:r w:rsidRPr="34C36DBF">
        <w:rPr>
          <w:b/>
          <w:bCs/>
        </w:rPr>
        <w:t xml:space="preserve"> (1960)</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 xml:space="preserve">The U.S. Supreme Court reversed. The Court found it difficult to explain the bizarrely shaped district as anything other than an effort to segregate black voters and deprive them of their right to </w:t>
      </w:r>
      <w:r w:rsidRPr="008F2827">
        <w:rPr>
          <w:shd w:val="clear" w:color="auto" w:fill="FFFFFF"/>
        </w:rPr>
        <w:lastRenderedPageBreak/>
        <w:t>vote. The Court concluded that courts have the power under the 15th Amendment to invalidate districts that are drawn to abridge the right to vote on the basis of race.</w:t>
      </w:r>
      <w:r>
        <w:rPr>
          <w:shd w:val="clear" w:color="auto" w:fill="FFFFFF"/>
        </w:rPr>
        <w:t xml:space="preserve"> </w:t>
      </w:r>
    </w:p>
    <w:p w:rsidR="000C0D30" w:rsidRPr="008F2827" w:rsidRDefault="000C0D30" w:rsidP="008F2827">
      <w:pPr>
        <w:pStyle w:val="Bulletsl"/>
        <w:spacing w:before="240"/>
        <w:rPr>
          <w:b/>
          <w:i/>
        </w:rPr>
      </w:pPr>
      <w:r w:rsidRPr="008F2827">
        <w:rPr>
          <w:b/>
          <w:i/>
        </w:rPr>
        <w:t xml:space="preserve">United Jewish Organizations of </w:t>
      </w:r>
      <w:proofErr w:type="spellStart"/>
      <w:r w:rsidRPr="008F2827">
        <w:rPr>
          <w:b/>
          <w:i/>
        </w:rPr>
        <w:t>Williamsburgh</w:t>
      </w:r>
      <w:proofErr w:type="spellEnd"/>
      <w:r w:rsidRPr="008F2827">
        <w:rPr>
          <w:b/>
          <w:i/>
        </w:rPr>
        <w:t xml:space="preserve">, Inc. v. Carey </w:t>
      </w:r>
      <w:r w:rsidRPr="008F2827">
        <w:rPr>
          <w:b/>
        </w:rPr>
        <w:t>(1977)</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w:rsidR="000C0D30" w:rsidRPr="00163850" w:rsidRDefault="000C0D30" w:rsidP="008F2827">
      <w:pPr>
        <w:pStyle w:val="Subhead2sl"/>
      </w:pPr>
      <w:r>
        <w:t>Arguments for Shaw (petitioner)</w:t>
      </w:r>
    </w:p>
    <w:p w:rsidR="000C0D30" w:rsidRPr="00494D0D" w:rsidRDefault="000C0D30" w:rsidP="008F2827">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rsidR="000C0D30" w:rsidRPr="00494D0D" w:rsidRDefault="000C0D30" w:rsidP="008F2827">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rsidR="000C0D30" w:rsidRPr="00494D0D" w:rsidRDefault="000C0D30" w:rsidP="008F2827">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their race is impermissible racial segregation. That does not change just because race is used to advance the interests of a minority group rather than limit them.</w:t>
      </w:r>
    </w:p>
    <w:p w:rsidR="000C0D30" w:rsidRPr="0032734D" w:rsidRDefault="000C0D30" w:rsidP="008F282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w:rsidR="000C0D30" w:rsidRPr="00494D0D" w:rsidRDefault="000C0D30" w:rsidP="008F2827">
      <w:pPr>
        <w:pStyle w:val="Subhead2sl"/>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rsidR="000C0D30" w:rsidRPr="003D1C1B" w:rsidRDefault="000C0D30" w:rsidP="008F282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rsidR="000C0D30" w:rsidRPr="00B444BC" w:rsidRDefault="000C0D30" w:rsidP="008F282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rsidR="000C0D30" w:rsidRDefault="000C0D30" w:rsidP="008F2827">
      <w:pPr>
        <w:pStyle w:val="Bulletsl"/>
        <w:spacing w:line="276" w:lineRule="auto"/>
      </w:pPr>
      <w:r>
        <w:t xml:space="preserve">In </w:t>
      </w:r>
      <w:r w:rsidRPr="34C36DBF">
        <w:rPr>
          <w:i/>
          <w:iCs/>
        </w:rPr>
        <w:t>Gomillion v. Lightfoot</w:t>
      </w:r>
      <w:r>
        <w:t xml:space="preserve"> (1960), the Court held that districts can’t be drawn to discriminate against minorities. But that does not mean that race can’t be used to draw districts that advance the interests of minorities.  </w:t>
      </w:r>
    </w:p>
    <w:p w:rsidR="000C0D30" w:rsidRPr="00DA2DC2" w:rsidRDefault="000C0D30" w:rsidP="008F2827">
      <w:pPr>
        <w:pStyle w:val="Bulletsl"/>
        <w:spacing w:line="276" w:lineRule="auto"/>
        <w:rPr>
          <w:shd w:val="clear" w:color="auto" w:fill="FFFFFF"/>
        </w:rPr>
      </w:pPr>
      <w:r w:rsidRPr="00DA2DC2">
        <w:rPr>
          <w:shd w:val="clear" w:color="auto" w:fill="FFFFFF"/>
        </w:rPr>
        <w:lastRenderedPageBreak/>
        <w:t xml:space="preserve">In </w:t>
      </w:r>
      <w:r w:rsidRPr="00DA2DC2">
        <w:rPr>
          <w:i/>
        </w:rPr>
        <w:t xml:space="preserve">United Jewish Organizations of </w:t>
      </w:r>
      <w:proofErr w:type="spellStart"/>
      <w:r w:rsidRPr="00DA2DC2">
        <w:rPr>
          <w:i/>
        </w:rPr>
        <w:t>Williamsburgh</w:t>
      </w:r>
      <w:proofErr w:type="spellEnd"/>
      <w:r w:rsidRPr="00DA2DC2">
        <w:rPr>
          <w:i/>
        </w:rPr>
        <w:t>,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rsidR="000C0D30" w:rsidRPr="008F2827" w:rsidRDefault="000C0D30" w:rsidP="008F2827">
      <w:pPr>
        <w:pStyle w:val="Subhead2sl"/>
        <w:rPr>
          <w:rStyle w:val="Subhead2slChar"/>
          <w:b/>
          <w:i/>
        </w:rPr>
      </w:pPr>
      <w:r w:rsidRPr="008F2827">
        <w:rPr>
          <w:rStyle w:val="Subhead2slChar"/>
          <w:b/>
          <w:i/>
        </w:rPr>
        <w:t>Decision</w:t>
      </w:r>
    </w:p>
    <w:p w:rsidR="000C0D30" w:rsidRDefault="000C0D30" w:rsidP="008F2827">
      <w:pPr>
        <w:pStyle w:val="Basiccopysl"/>
      </w:pPr>
      <w:r>
        <w:t>In a 5–4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rsidR="000C0D30" w:rsidRPr="00163850" w:rsidRDefault="000C0D30" w:rsidP="008F2827">
      <w:pPr>
        <w:pStyle w:val="Subhead3sl"/>
      </w:pPr>
      <w:r w:rsidRPr="00163850">
        <w:t>Majority</w:t>
      </w:r>
    </w:p>
    <w:p w:rsidR="000C0D30" w:rsidRDefault="000C0D30" w:rsidP="008F282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proofErr w:type="spellStart"/>
      <w:r w:rsidRPr="00B444BC">
        <w:rPr>
          <w:i/>
          <w:shd w:val="clear" w:color="auto" w:fill="FFFFFF"/>
        </w:rPr>
        <w:t>Gomillion</w:t>
      </w:r>
      <w:proofErr w:type="spellEnd"/>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rsidR="000C0D30" w:rsidRDefault="000C0D30" w:rsidP="008F282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promotes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rsidR="000C0D30" w:rsidRPr="001E4CFC" w:rsidRDefault="000C0D30" w:rsidP="008F282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rsidR="000C0D30" w:rsidRPr="00163850" w:rsidRDefault="000C0D30" w:rsidP="008F2827">
      <w:pPr>
        <w:pStyle w:val="Subhead3sl"/>
      </w:pPr>
      <w:r>
        <w:t>Dissents</w:t>
      </w:r>
    </w:p>
    <w:p w:rsidR="000C0D30" w:rsidRPr="00415813" w:rsidRDefault="000C0D30" w:rsidP="008F2827">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w:t>
      </w:r>
      <w:r>
        <w:lastRenderedPageBreak/>
        <w:t xml:space="preserve">together, and that race-conscious gerrymandering only violates the Equal Protection Clause if the purpose of those drawing the boundaries is to enhance the power of the group in control of the process, at the expense of minority voters. </w:t>
      </w:r>
    </w:p>
    <w:p w:rsidR="000C0D30" w:rsidRDefault="000C0D30" w:rsidP="005D78F1">
      <w:pPr>
        <w:pStyle w:val="Title2sl"/>
        <w:sectPr w:rsidR="000C0D30" w:rsidSect="000C0D30">
          <w:headerReference w:type="default" r:id="rId25"/>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 xml:space="preserve">Tinker v. Des Moines Independent </w:t>
      </w:r>
      <w:r w:rsidRPr="000C0D30">
        <w:rPr>
          <w:i/>
        </w:rPr>
        <w:br/>
        <w:t>Community School District</w:t>
      </w:r>
      <w:r>
        <w:t xml:space="preserve"> </w:t>
      </w:r>
      <w:r w:rsidRPr="000106EE">
        <w:t>(</w:t>
      </w:r>
      <w:r>
        <w:t>1969</w:t>
      </w:r>
      <w:r w:rsidRPr="000106EE">
        <w:t>)</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rsidR="000C0D30" w:rsidRPr="00ED7038" w:rsidRDefault="000C0D30" w:rsidP="005D78F1">
      <w:pPr>
        <w:pStyle w:val="Argueddecideddatessl"/>
      </w:pPr>
      <w:r>
        <w:t>Decided</w:t>
      </w:r>
      <w:r w:rsidRPr="00ED7038">
        <w:t xml:space="preserve">: </w:t>
      </w:r>
      <w:r>
        <w:rPr>
          <w:b w:val="0"/>
        </w:rPr>
        <w:t>February 24, 1969</w:t>
      </w:r>
    </w:p>
    <w:p w:rsidR="000C0D30" w:rsidRPr="00EE6A86" w:rsidRDefault="000C0D30" w:rsidP="004475C6">
      <w:pPr>
        <w:pStyle w:val="Subhead2sl"/>
      </w:pPr>
      <w:r w:rsidRPr="00EE6A86">
        <w:t>Facts</w:t>
      </w:r>
    </w:p>
    <w:p w:rsidR="000C0D30" w:rsidRPr="00EE6A86" w:rsidRDefault="000C0D30"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rsidR="000C0D30" w:rsidRPr="008B061A" w:rsidRDefault="000C0D30" w:rsidP="004475C6">
      <w:pPr>
        <w:pStyle w:val="Basiccopysl"/>
      </w:pPr>
      <w:r w:rsidRPr="008B061A">
        <w:t xml:space="preserve">Mary Beth Tinker, an </w:t>
      </w:r>
      <w:r>
        <w:t>eighth-</w:t>
      </w:r>
      <w:r w:rsidRPr="008B061A">
        <w:t>grade</w:t>
      </w:r>
      <w:r>
        <w:t>r,</w:t>
      </w:r>
      <w:r w:rsidRPr="008B061A">
        <w:t xml:space="preserve"> and John Tinker</w:t>
      </w:r>
      <w:r>
        <w:t xml:space="preserve"> and Christopher </w:t>
      </w:r>
      <w:proofErr w:type="spellStart"/>
      <w:r>
        <w:t>Eckardt</w:t>
      </w:r>
      <w:proofErr w:type="spellEnd"/>
      <w:r>
        <w: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 xml:space="preserve">federal </w:t>
      </w:r>
      <w:r w:rsidRPr="008B061A">
        <w:t xml:space="preserve">district court dismissed the case and </w:t>
      </w:r>
      <w:r>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rsidR="000C0D30" w:rsidRPr="00EE6A86" w:rsidRDefault="000C0D30" w:rsidP="004475C6">
      <w:pPr>
        <w:pStyle w:val="Subhead2sl"/>
      </w:pPr>
      <w:r w:rsidRPr="00EE6A86">
        <w:t>Issue</w:t>
      </w:r>
    </w:p>
    <w:p w:rsidR="000C0D30" w:rsidRPr="00EE6A86" w:rsidRDefault="000C0D30"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rsidR="000C0D30" w:rsidRPr="00EE6A86" w:rsidRDefault="000C0D30"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rsidR="000C0D30" w:rsidRPr="004475C6" w:rsidRDefault="000C0D30" w:rsidP="000C0D30">
      <w:pPr>
        <w:pStyle w:val="Amendmentprecedentbulletsl"/>
        <w:spacing w:line="276" w:lineRule="auto"/>
      </w:pPr>
      <w:r>
        <w:t>U.S. Constitution, Amendment I</w:t>
      </w:r>
    </w:p>
    <w:p w:rsidR="000C0D30" w:rsidRPr="008B061A" w:rsidRDefault="000C0D30" w:rsidP="004475C6">
      <w:pPr>
        <w:pStyle w:val="Indentedbasiccopysl"/>
      </w:pPr>
      <w:r w:rsidRPr="00EE6A86">
        <w:t>Congress shall make no law … abridging the freedom of speech….</w:t>
      </w:r>
    </w:p>
    <w:p w:rsidR="000C0D30" w:rsidRPr="004475C6" w:rsidRDefault="000C0D30" w:rsidP="000C0D30">
      <w:pPr>
        <w:pStyle w:val="Amendmentprecedentbulletsl"/>
        <w:spacing w:line="276" w:lineRule="auto"/>
      </w:pPr>
      <w:r w:rsidRPr="00CA6943">
        <w:rPr>
          <w:i/>
        </w:rPr>
        <w:t>West Virginia State Board of Education v</w:t>
      </w:r>
      <w:r>
        <w:rPr>
          <w:i/>
        </w:rPr>
        <w:t>.</w:t>
      </w:r>
      <w:r w:rsidRPr="00CA6943">
        <w:rPr>
          <w:i/>
        </w:rPr>
        <w:t xml:space="preserve"> Barnette</w:t>
      </w:r>
      <w:r>
        <w:t xml:space="preserve"> (1943)</w:t>
      </w:r>
    </w:p>
    <w:p w:rsidR="000C0D30" w:rsidRPr="00EE6A86" w:rsidRDefault="000C0D30"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to communicate ideas. </w:t>
      </w:r>
      <w:r>
        <w:t>The justices ruled that, in most cases, t</w:t>
      </w:r>
      <w:r w:rsidRPr="00EE6A86">
        <w:t>he government</w:t>
      </w:r>
      <w:r>
        <w:t xml:space="preserve"> </w:t>
      </w:r>
      <w:r w:rsidRPr="00EE6A86">
        <w:t>could not require people to express ideas that they disagree with.</w:t>
      </w:r>
      <w:r>
        <w:t xml:space="preserve"> </w:t>
      </w:r>
    </w:p>
    <w:p w:rsidR="000C0D30" w:rsidRPr="00EE6A86" w:rsidRDefault="000C0D30" w:rsidP="004475C6">
      <w:pPr>
        <w:pStyle w:val="Subhead2sl"/>
      </w:pPr>
      <w:r w:rsidRPr="00EE6A86">
        <w:lastRenderedPageBreak/>
        <w:t>Arguments for Tinker</w:t>
      </w:r>
      <w:r>
        <w:t xml:space="preserve"> (petitioner)</w:t>
      </w:r>
    </w:p>
    <w:p w:rsidR="000C0D30" w:rsidRPr="004475C6" w:rsidRDefault="000C0D30" w:rsidP="000C0D30">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rsidR="000C0D30" w:rsidRPr="004475C6" w:rsidRDefault="000C0D30" w:rsidP="000C0D30">
      <w:pPr>
        <w:pStyle w:val="Bulletsl"/>
        <w:spacing w:line="276" w:lineRule="auto"/>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rsidR="000C0D30" w:rsidRPr="004475C6" w:rsidRDefault="000C0D30" w:rsidP="000C0D30">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rsidR="000C0D30" w:rsidRPr="004475C6" w:rsidRDefault="000C0D30" w:rsidP="000C0D30">
      <w:pPr>
        <w:pStyle w:val="Bulletsl"/>
        <w:spacing w:line="276" w:lineRule="auto"/>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rsidR="000C0D30" w:rsidRPr="004475C6" w:rsidRDefault="000C0D30" w:rsidP="000C0D30">
      <w:pPr>
        <w:pStyle w:val="Bulletsl"/>
        <w:spacing w:line="276" w:lineRule="auto"/>
      </w:pPr>
      <w:r w:rsidRPr="004475C6">
        <w:t>The students wearing the armbands did not infringe any other student’s rights. Wearing the armbands did not intrude upon the work of the school, teachers, or other students.</w:t>
      </w:r>
    </w:p>
    <w:p w:rsidR="000C0D30" w:rsidRPr="004475C6" w:rsidRDefault="000C0D30" w:rsidP="000C0D30">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rsidR="000C0D30" w:rsidRPr="00EE6A86" w:rsidRDefault="000C0D30" w:rsidP="004475C6">
      <w:pPr>
        <w:pStyle w:val="Subhead2sl"/>
      </w:pPr>
      <w:r w:rsidRPr="00EE6A86">
        <w:t>Arguments for Des Moines</w:t>
      </w:r>
      <w:r>
        <w:t xml:space="preserve"> Independent Community School District (respondent)</w:t>
      </w:r>
    </w:p>
    <w:p w:rsidR="000C0D30" w:rsidRPr="00EE6A86" w:rsidRDefault="000C0D30" w:rsidP="000C0D30">
      <w:pPr>
        <w:pStyle w:val="Bulletsl"/>
        <w:spacing w:line="276" w:lineRule="auto"/>
      </w:pPr>
      <w:r w:rsidRPr="00EE6A86">
        <w:t>Free speech is not an absolute right. The First Amendment does not say that anyone may say anything, at any place, at any time. Schools are not an appropriate forum for protest.</w:t>
      </w:r>
    </w:p>
    <w:p w:rsidR="000C0D30" w:rsidRPr="00EE6A86" w:rsidRDefault="000C0D30" w:rsidP="000C0D30">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rsidR="000C0D30" w:rsidRPr="00EE6A86" w:rsidRDefault="000C0D30" w:rsidP="000C0D30">
      <w:pPr>
        <w:pStyle w:val="Bulletsl"/>
        <w:spacing w:line="276" w:lineRule="auto"/>
      </w:pPr>
      <w:r w:rsidRPr="00EE6A86">
        <w:t>The Vietnam War is a controversial issue. Wearing the armbands could be an explosive situation that disrupts learning. It is the school’s duty to prevent substantial and serious disruption to the learning environment.</w:t>
      </w:r>
    </w:p>
    <w:p w:rsidR="000C0D30" w:rsidRPr="00EE6A86" w:rsidRDefault="000C0D30" w:rsidP="000C0D30">
      <w:pPr>
        <w:pStyle w:val="Bulletsl"/>
        <w:spacing w:line="276" w:lineRule="auto"/>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t xml:space="preserve">prevent such behavior and </w:t>
      </w:r>
      <w:r w:rsidRPr="00EE6A86">
        <w:t>protect the safety of all students.</w:t>
      </w:r>
    </w:p>
    <w:p w:rsidR="000C0D30" w:rsidRPr="00EE6A86" w:rsidRDefault="000C0D30" w:rsidP="000C0D30">
      <w:pPr>
        <w:pStyle w:val="Bulletsl"/>
        <w:spacing w:line="276" w:lineRule="auto"/>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rsidR="000C0D30" w:rsidRPr="00EE6A86" w:rsidRDefault="000C0D30" w:rsidP="000C0D30">
      <w:pPr>
        <w:pStyle w:val="Bulletsl"/>
        <w:spacing w:line="276" w:lineRule="auto"/>
      </w:pPr>
      <w:r w:rsidRPr="00EE6A86">
        <w:lastRenderedPageBreak/>
        <w:t>If the Supreme Court rules in favor of the children, it would be overstepping its bounds and interfering with state and local government powers that govern day</w:t>
      </w:r>
      <w:r>
        <w:t>-</w:t>
      </w:r>
      <w:r w:rsidRPr="00EE6A86">
        <w:t>to</w:t>
      </w:r>
      <w:r>
        <w:t>-</w:t>
      </w:r>
      <w:r w:rsidRPr="00EE6A86">
        <w:t>day school operations.</w:t>
      </w:r>
    </w:p>
    <w:p w:rsidR="000C0D30" w:rsidRPr="00EE6A86" w:rsidRDefault="000C0D30" w:rsidP="004475C6">
      <w:pPr>
        <w:pStyle w:val="Subhead2sl"/>
      </w:pPr>
      <w:r w:rsidRPr="00EE6A86">
        <w:t xml:space="preserve">Decision </w:t>
      </w:r>
    </w:p>
    <w:p w:rsidR="000C0D30" w:rsidRDefault="000C0D30"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rsidR="000C0D30" w:rsidRDefault="000C0D30"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rsidR="000C0D30" w:rsidRDefault="000C0D30" w:rsidP="004475C6">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w:t>
      </w:r>
      <w:proofErr w:type="spellStart"/>
      <w:r>
        <w:t>not</w:t>
      </w:r>
      <w:proofErr w:type="spellEnd"/>
      <w:r>
        <w:t xml:space="preserve"> evidence that the armbands would substantially interfere with the educational process or with other students’ rights. </w:t>
      </w:r>
    </w:p>
    <w:p w:rsidR="000C0D30" w:rsidRPr="00EE6A86" w:rsidRDefault="000C0D30" w:rsidP="004475C6">
      <w:pPr>
        <w:pStyle w:val="Subhead3sl"/>
      </w:pPr>
      <w:r w:rsidRPr="00EE6A86">
        <w:t xml:space="preserve">Dissent </w:t>
      </w:r>
    </w:p>
    <w:p w:rsidR="000C0D30" w:rsidRDefault="000C0D30" w:rsidP="004475C6">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rsidR="000C0D30" w:rsidRPr="008B061A" w:rsidRDefault="000C0D30"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rsidR="000C0D30" w:rsidRPr="00F42CDF" w:rsidRDefault="000C0D30" w:rsidP="004475C6">
      <w:pPr>
        <w:pStyle w:val="Subhead2sl"/>
      </w:pPr>
    </w:p>
    <w:p w:rsidR="000C0D30" w:rsidRDefault="000C0D30" w:rsidP="005D78F1">
      <w:pPr>
        <w:pStyle w:val="Title2sl"/>
        <w:sectPr w:rsidR="000C0D30" w:rsidSect="000C0D30">
          <w:headerReference w:type="default" r:id="rId26"/>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United States v. Lopez</w:t>
      </w:r>
      <w:r>
        <w:t xml:space="preserve"> </w:t>
      </w:r>
      <w:r w:rsidRPr="00773546">
        <w:t>(1995)</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rsidR="000C0D30" w:rsidRDefault="000C0D30" w:rsidP="005D78F1">
      <w:pPr>
        <w:pStyle w:val="Argueddecideddatessl"/>
        <w:rPr>
          <w:b w:val="0"/>
        </w:rPr>
      </w:pPr>
      <w:r>
        <w:t>Decided</w:t>
      </w:r>
      <w:r w:rsidRPr="00ED7038">
        <w:t xml:space="preserve">: </w:t>
      </w:r>
      <w:r>
        <w:rPr>
          <w:b w:val="0"/>
        </w:rPr>
        <w:t>April 26, 1995</w:t>
      </w:r>
    </w:p>
    <w:p w:rsidR="000C0D30" w:rsidRPr="00FE7E39" w:rsidRDefault="000C0D30" w:rsidP="00381577">
      <w:pPr>
        <w:pStyle w:val="Subhead2sl"/>
      </w:pPr>
      <w:r w:rsidRPr="00FE7E39">
        <w:t>Background</w:t>
      </w:r>
    </w:p>
    <w:p w:rsidR="000C0D30" w:rsidRPr="00DA2BC5" w:rsidRDefault="000C0D30" w:rsidP="00381577">
      <w:pPr>
        <w:pStyle w:val="Basiccopysl"/>
      </w:pPr>
      <w:r w:rsidRPr="00DA2BC5">
        <w:t xml:space="preserve">The U.S. Constitution sets up a system of government in which the federal government and the </w:t>
      </w:r>
      <w:proofErr w:type="spellStart"/>
      <w:r w:rsidRPr="00DA2BC5">
        <w:t>states</w:t>
      </w:r>
      <w:proofErr w:type="spellEnd"/>
      <w:r w:rsidRPr="00DA2BC5">
        <w:t xml:space="preserve">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rsidR="000C0D30" w:rsidRPr="00FE7E39" w:rsidRDefault="000C0D30" w:rsidP="00381577">
      <w:pPr>
        <w:pStyle w:val="Subhead2sl"/>
      </w:pPr>
      <w:r w:rsidRPr="00FE7E39">
        <w:t>Facts</w:t>
      </w:r>
    </w:p>
    <w:p w:rsidR="000C0D30" w:rsidRPr="00425657" w:rsidRDefault="000C0D30" w:rsidP="00381577">
      <w:pPr>
        <w:pStyle w:val="Basiccopysl"/>
      </w:pPr>
      <w:r w:rsidRPr="00425657">
        <w:t>In 1990</w:t>
      </w:r>
      <w:r>
        <w:t>,</w:t>
      </w:r>
      <w:r w:rsidRPr="00425657">
        <w:t xml:space="preserve"> Congress passed the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CE64E9">
        <w:t>th</w:t>
      </w:r>
      <w:r w:rsidRPr="00425657">
        <w:t xml:space="preserve"> 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 The Court</w:t>
      </w:r>
      <w:r w:rsidRPr="00425657">
        <w:rPr>
          <w:shd w:val="clear" w:color="auto" w:fill="FFFFFF"/>
        </w:rPr>
        <w:t xml:space="preserve"> agreed to </w:t>
      </w:r>
      <w:r>
        <w:rPr>
          <w:shd w:val="clear" w:color="auto" w:fill="FFFFFF"/>
        </w:rPr>
        <w:t>do so</w:t>
      </w:r>
      <w:r w:rsidRPr="00425657">
        <w:rPr>
          <w:shd w:val="clear" w:color="auto" w:fill="FFFFFF"/>
        </w:rPr>
        <w:t>.</w:t>
      </w:r>
    </w:p>
    <w:p w:rsidR="000C0D30" w:rsidRPr="00FE7E39" w:rsidRDefault="000C0D30" w:rsidP="00381577">
      <w:pPr>
        <w:pStyle w:val="Subhead2sl"/>
      </w:pPr>
      <w:r w:rsidRPr="00FE7E39">
        <w:t>Issue</w:t>
      </w:r>
    </w:p>
    <w:p w:rsidR="000C0D30" w:rsidRPr="00DA2BC5" w:rsidRDefault="000C0D30"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rsidR="000C0D30" w:rsidRPr="00FE7E39" w:rsidRDefault="000C0D30" w:rsidP="00381577">
      <w:pPr>
        <w:pStyle w:val="Subhead2sl"/>
      </w:pPr>
      <w:r w:rsidRPr="00FE7E39">
        <w:t xml:space="preserve">Constitutional Clauses and </w:t>
      </w:r>
      <w:r>
        <w:t xml:space="preserve">Supreme Court </w:t>
      </w:r>
      <w:r w:rsidRPr="00FE7E39">
        <w:t>Precedents</w:t>
      </w:r>
    </w:p>
    <w:p w:rsidR="000C0D30" w:rsidRDefault="000C0D30" w:rsidP="000C0D30">
      <w:pPr>
        <w:pStyle w:val="Amendmentprecedentbulletsl"/>
        <w:spacing w:line="276" w:lineRule="auto"/>
      </w:pPr>
      <w:r>
        <w:t>Article 1, Section 8, Clause 3 of the U.S. Constitution</w:t>
      </w:r>
    </w:p>
    <w:p w:rsidR="000C0D30" w:rsidRPr="00FE7E39" w:rsidRDefault="000C0D30" w:rsidP="00381577">
      <w:pPr>
        <w:pStyle w:val="Indentedbasiccopysl"/>
      </w:pPr>
      <w:r w:rsidRPr="00FE7E39">
        <w:t>“The Congress shall have the power …to regulate Commerce with foreign Nations, and among the several States, and with the Indian Tribes…”</w:t>
      </w:r>
    </w:p>
    <w:p w:rsidR="000C0D30" w:rsidRDefault="000C0D30" w:rsidP="000C0D30">
      <w:pPr>
        <w:pStyle w:val="Amendmentprecedentbulletsl"/>
        <w:spacing w:line="276" w:lineRule="auto"/>
      </w:pPr>
      <w:r w:rsidRPr="00425657">
        <w:t>Article 1, Section 8, Clause 18</w:t>
      </w:r>
      <w:r>
        <w:t xml:space="preserve"> of the U.S. Constitution</w:t>
      </w:r>
    </w:p>
    <w:p w:rsidR="000C0D30" w:rsidRPr="00DA2BC5" w:rsidRDefault="000C0D30"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rsidR="000C0D30" w:rsidRDefault="000C0D30" w:rsidP="000C0D30">
      <w:pPr>
        <w:pStyle w:val="Amendmentprecedentbulletsl"/>
        <w:spacing w:line="276" w:lineRule="auto"/>
      </w:pPr>
      <w:proofErr w:type="spellStart"/>
      <w:r w:rsidRPr="00381577">
        <w:rPr>
          <w:i/>
        </w:rPr>
        <w:lastRenderedPageBreak/>
        <w:t>Wickard</w:t>
      </w:r>
      <w:proofErr w:type="spellEnd"/>
      <w:r w:rsidRPr="00381577">
        <w:rPr>
          <w:i/>
        </w:rPr>
        <w:t xml:space="preserve"> v. </w:t>
      </w:r>
      <w:proofErr w:type="spellStart"/>
      <w:r w:rsidRPr="00381577">
        <w:rPr>
          <w:i/>
        </w:rPr>
        <w:t>Filburn</w:t>
      </w:r>
      <w:proofErr w:type="spellEnd"/>
      <w:r>
        <w:t xml:space="preserve"> (1942)</w:t>
      </w:r>
    </w:p>
    <w:p w:rsidR="000C0D30" w:rsidRPr="00425657" w:rsidRDefault="000C0D30"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rsidR="000C0D30" w:rsidRDefault="000C0D30" w:rsidP="000C0D30">
      <w:pPr>
        <w:pStyle w:val="Amendmentprecedentbulletsl"/>
        <w:spacing w:line="276" w:lineRule="auto"/>
      </w:pPr>
      <w:r w:rsidRPr="00381577">
        <w:rPr>
          <w:i/>
        </w:rPr>
        <w:t>Heart of Atlanta Motel v. U.S.</w:t>
      </w:r>
      <w:r>
        <w:t xml:space="preserve"> (1964)</w:t>
      </w:r>
    </w:p>
    <w:p w:rsidR="000C0D30" w:rsidRPr="00425657" w:rsidRDefault="000C0D30"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rsidR="000C0D30" w:rsidRPr="00FE7E39" w:rsidRDefault="000C0D30" w:rsidP="00381577">
      <w:pPr>
        <w:pStyle w:val="Subhead2sl"/>
      </w:pPr>
      <w:r w:rsidRPr="00FE7E39">
        <w:t>Arguments for the United States</w:t>
      </w:r>
      <w:r>
        <w:t xml:space="preserve"> (petitioner)</w:t>
      </w:r>
    </w:p>
    <w:p w:rsidR="000C0D30" w:rsidRPr="00425657" w:rsidRDefault="000C0D30" w:rsidP="000C0D30">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proofErr w:type="spellStart"/>
      <w:r w:rsidRPr="00425657">
        <w:rPr>
          <w:i/>
        </w:rPr>
        <w:t>Wickard</w:t>
      </w:r>
      <w:proofErr w:type="spellEnd"/>
      <w:r w:rsidRPr="00425657">
        <w:rPr>
          <w:i/>
        </w:rPr>
        <w:t xml:space="preserve">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t>.</w:t>
      </w:r>
    </w:p>
    <w:p w:rsidR="000C0D30" w:rsidRPr="00425657" w:rsidRDefault="000C0D30" w:rsidP="000C0D30">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rsidR="000C0D30" w:rsidRPr="00425657" w:rsidRDefault="000C0D30" w:rsidP="000C0D30">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rsidR="000C0D30" w:rsidRPr="00425657" w:rsidRDefault="000C0D30" w:rsidP="000C0D30">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rsidR="000C0D30" w:rsidRPr="00DA2BC5" w:rsidRDefault="000C0D30" w:rsidP="000C0D30">
      <w:pPr>
        <w:pStyle w:val="Bulletsl"/>
        <w:spacing w:line="276" w:lineRule="auto"/>
      </w:pPr>
      <w:r w:rsidRPr="00425657">
        <w:t>The GFSZA does not encroach on state authority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rsidR="000C0D30" w:rsidRPr="00FE7E39" w:rsidRDefault="000C0D30" w:rsidP="00381577">
      <w:pPr>
        <w:pStyle w:val="Subhead2sl"/>
      </w:pPr>
      <w:r w:rsidRPr="00FE7E39">
        <w:lastRenderedPageBreak/>
        <w:t>Arguments for Lopez</w:t>
      </w:r>
      <w:r>
        <w:t xml:space="preserve"> (respondent)</w:t>
      </w:r>
    </w:p>
    <w:p w:rsidR="000C0D30" w:rsidRPr="00425657" w:rsidRDefault="000C0D30" w:rsidP="000C0D30">
      <w:pPr>
        <w:pStyle w:val="Bulletsl"/>
        <w:spacing w:line="276" w:lineRule="auto"/>
      </w:pPr>
      <w:r w:rsidRPr="00425657">
        <w:t>The GFSZA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rsidR="000C0D30" w:rsidRPr="00425657" w:rsidRDefault="000C0D30" w:rsidP="000C0D30">
      <w:pPr>
        <w:pStyle w:val="Bulletsl"/>
        <w:spacing w:line="276" w:lineRule="auto"/>
      </w:pPr>
      <w:r w:rsidRPr="00425657">
        <w:t xml:space="preserve">The </w:t>
      </w:r>
      <w:r w:rsidRPr="006E3DFC">
        <w:t>Gun Free Schools Zone Act</w:t>
      </w:r>
      <w:r w:rsidRPr="00425657">
        <w:rPr>
          <w:i/>
        </w:rPr>
        <w:t xml:space="preserve"> </w:t>
      </w:r>
      <w:r w:rsidRPr="00425657">
        <w:t xml:space="preserve">is not like the law at issue in </w:t>
      </w:r>
      <w:proofErr w:type="spellStart"/>
      <w:r>
        <w:rPr>
          <w:i/>
        </w:rPr>
        <w:t>Wickard</w:t>
      </w:r>
      <w:proofErr w:type="spellEnd"/>
      <w:r>
        <w:rPr>
          <w:i/>
        </w:rPr>
        <w:t xml:space="preserve">,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rsidR="000C0D30" w:rsidRPr="00425657" w:rsidRDefault="000C0D30" w:rsidP="000C0D30">
      <w:pPr>
        <w:pStyle w:val="Bulletsl"/>
        <w:spacing w:line="276" w:lineRule="auto"/>
      </w:pPr>
      <w:r w:rsidRPr="00425657">
        <w:t>Mere possession of a gun at or near a school is not a form of commerce and does not involve more than one state.</w:t>
      </w:r>
    </w:p>
    <w:p w:rsidR="000C0D30" w:rsidRPr="00425657" w:rsidRDefault="000C0D30" w:rsidP="000C0D30">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rsidR="000C0D30" w:rsidRPr="00425657" w:rsidRDefault="000C0D30" w:rsidP="000C0D30">
      <w:pPr>
        <w:pStyle w:val="Bulletsl"/>
        <w:spacing w:line="276" w:lineRule="auto"/>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rsidR="000C0D30" w:rsidRPr="00DA2BC5" w:rsidRDefault="000C0D30" w:rsidP="000C0D30">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rsidR="000C0D30" w:rsidRPr="00FE7E39" w:rsidRDefault="000C0D30" w:rsidP="00381577">
      <w:pPr>
        <w:pStyle w:val="Subhead2sl"/>
      </w:pPr>
      <w:r w:rsidRPr="00FE7E39">
        <w:t>Decision</w:t>
      </w:r>
    </w:p>
    <w:p w:rsidR="000C0D30" w:rsidRPr="00425657" w:rsidRDefault="000C0D30" w:rsidP="00381577">
      <w:pPr>
        <w:pStyle w:val="Basiccopysl"/>
      </w:pPr>
      <w:r w:rsidRPr="00425657">
        <w:t>The Supreme Court ruled in favor of Lopez, 5</w:t>
      </w:r>
      <w:r>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rsidR="000C0D30" w:rsidRPr="00425657" w:rsidRDefault="000C0D30"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rsidR="000C0D30" w:rsidRPr="00425657" w:rsidRDefault="000C0D30" w:rsidP="000C0D30">
      <w:pPr>
        <w:pStyle w:val="Bulletsl"/>
        <w:spacing w:after="0" w:line="276" w:lineRule="auto"/>
      </w:pPr>
      <w:r w:rsidRPr="00425657">
        <w:t>Channels of interstate commerce</w:t>
      </w:r>
      <w:r>
        <w:t xml:space="preserve">, </w:t>
      </w:r>
      <w:r w:rsidRPr="00425657">
        <w:t xml:space="preserve">including highways, waterways, and air traffic. </w:t>
      </w:r>
    </w:p>
    <w:p w:rsidR="000C0D30" w:rsidRPr="00425657" w:rsidRDefault="000C0D30" w:rsidP="000C0D30">
      <w:pPr>
        <w:pStyle w:val="Bulletsl"/>
        <w:spacing w:after="0" w:line="276" w:lineRule="auto"/>
      </w:pPr>
      <w:r w:rsidRPr="00425657">
        <w:t>People, machines, and things moving in, or used in carrying out</w:t>
      </w:r>
      <w:r>
        <w:t>,</w:t>
      </w:r>
      <w:r w:rsidRPr="00425657">
        <w:t xml:space="preserve"> interstate commerce. </w:t>
      </w:r>
    </w:p>
    <w:p w:rsidR="000C0D30" w:rsidRDefault="000C0D30" w:rsidP="000C0D30">
      <w:pPr>
        <w:pStyle w:val="Bulletsl"/>
        <w:spacing w:line="276" w:lineRule="auto"/>
      </w:pPr>
      <w:r w:rsidRPr="00425657">
        <w:t xml:space="preserve">Economic activities that have a substantial effect on interstate commerce. </w:t>
      </w:r>
    </w:p>
    <w:p w:rsidR="000C0D30" w:rsidRPr="00DA2BC5" w:rsidRDefault="000C0D30"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 xml:space="preserve">directly contradicts the principle of limited government and explicit </w:t>
      </w:r>
      <w:r w:rsidRPr="00425657">
        <w:rPr>
          <w:shd w:val="clear" w:color="auto" w:fill="FFFFFF"/>
        </w:rPr>
        <w:lastRenderedPageBreak/>
        <w:t>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rsidR="000C0D30" w:rsidRPr="00DA2BC5" w:rsidRDefault="000C0D30" w:rsidP="00381577">
      <w:pPr>
        <w:pStyle w:val="Subhead3sl"/>
      </w:pPr>
      <w:r w:rsidRPr="00DA2BC5">
        <w:t>Dissent</w:t>
      </w:r>
    </w:p>
    <w:p w:rsidR="000C0D30" w:rsidRDefault="000C0D30" w:rsidP="00381577">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rsidR="000C0D30" w:rsidRDefault="000C0D30" w:rsidP="00381577">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rsidR="000C0D30" w:rsidRPr="00425657" w:rsidRDefault="000C0D30" w:rsidP="00381577">
      <w:pPr>
        <w:pStyle w:val="Basiccopysl"/>
      </w:pPr>
      <w:r>
        <w:t xml:space="preserve">Justice Souter’s separate dissent emphasized his view that the courts should defer to Congress’s informed judgment about the potential economic effects of activity that Congress seeks to regulate, so long as there is a “rational basis” for the judgment that Congress has made. </w:t>
      </w:r>
    </w:p>
    <w:p w:rsidR="000C0D30" w:rsidRPr="00ED7038" w:rsidRDefault="000C0D30" w:rsidP="00381577">
      <w:pPr>
        <w:pStyle w:val="Basiccopysl"/>
      </w:pPr>
    </w:p>
    <w:p w:rsidR="000C0D30" w:rsidRDefault="000C0D30" w:rsidP="008730AC">
      <w:pPr>
        <w:pStyle w:val="Title2sl"/>
        <w:jc w:val="center"/>
        <w:rPr>
          <w:i/>
        </w:rPr>
        <w:sectPr w:rsidR="000C0D30" w:rsidSect="000C0D30">
          <w:headerReference w:type="default" r:id="rId27"/>
          <w:footnotePr>
            <w:numFmt w:val="chicago"/>
          </w:footnotePr>
          <w:pgSz w:w="12240" w:h="15840"/>
          <w:pgMar w:top="1440" w:right="1440" w:bottom="1440" w:left="1440" w:header="720" w:footer="720" w:gutter="0"/>
          <w:cols w:space="720"/>
          <w:docGrid w:linePitch="360"/>
        </w:sectPr>
      </w:pPr>
    </w:p>
    <w:p w:rsidR="000C0D30" w:rsidRPr="008730AC" w:rsidRDefault="000C0D30" w:rsidP="008730AC">
      <w:pPr>
        <w:pStyle w:val="Title2sl"/>
        <w:jc w:val="center"/>
      </w:pPr>
      <w:r w:rsidRPr="008730AC">
        <w:rPr>
          <w:i/>
        </w:rPr>
        <w:lastRenderedPageBreak/>
        <w:t>Wisconsin v. Yoder</w:t>
      </w:r>
      <w:r w:rsidRPr="008730AC">
        <w:t xml:space="preserve"> </w:t>
      </w:r>
      <w:hyperlink r:id="rId28">
        <w:r w:rsidRPr="008730AC">
          <w:t>(1972)</w:t>
        </w:r>
      </w:hyperlink>
    </w:p>
    <w:p w:rsidR="000C0D30" w:rsidRPr="004B0C6B" w:rsidRDefault="000C0D30" w:rsidP="004B0C6B">
      <w:pPr>
        <w:pStyle w:val="Basiccopysl"/>
        <w:spacing w:after="0"/>
        <w:jc w:val="center"/>
      </w:pPr>
      <w:r w:rsidRPr="004B0C6B">
        <w:rPr>
          <w:b/>
        </w:rPr>
        <w:t>Argued:</w:t>
      </w:r>
      <w:r w:rsidRPr="004B0C6B">
        <w:t xml:space="preserve"> </w:t>
      </w:r>
      <w:r>
        <w:t>December 8, 1971</w:t>
      </w:r>
    </w:p>
    <w:p w:rsidR="000C0D30" w:rsidRPr="004B0C6B" w:rsidRDefault="000C0D30" w:rsidP="004B0C6B">
      <w:pPr>
        <w:pStyle w:val="Basiccopysl"/>
        <w:jc w:val="center"/>
      </w:pPr>
      <w:r w:rsidRPr="004B0C6B">
        <w:rPr>
          <w:b/>
        </w:rPr>
        <w:t>Decided:</w:t>
      </w:r>
      <w:r w:rsidRPr="004B0C6B">
        <w:t xml:space="preserve"> </w:t>
      </w:r>
      <w:r>
        <w:t>May 15, 1972</w:t>
      </w:r>
    </w:p>
    <w:p w:rsidR="000C0D30" w:rsidRPr="00256021" w:rsidRDefault="000C0D30" w:rsidP="00377723">
      <w:pPr>
        <w:pStyle w:val="Subhead2sl"/>
      </w:pPr>
      <w:r w:rsidRPr="00256021">
        <w:t>Background</w:t>
      </w:r>
    </w:p>
    <w:p w:rsidR="000C0D30" w:rsidRDefault="000C0D30"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Amish and Mennonite communities. </w:t>
      </w:r>
    </w:p>
    <w:p w:rsidR="000C0D30" w:rsidRDefault="000C0D30" w:rsidP="00A264C3">
      <w:r>
        <w:t>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home schooling, for their children after the age of 14. For generations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rsidR="000C0D30" w:rsidRPr="00256021" w:rsidRDefault="000C0D30" w:rsidP="004B0C6B">
      <w:pPr>
        <w:pStyle w:val="Subhead2sl"/>
      </w:pPr>
      <w:r w:rsidRPr="00256021">
        <w:t>Facts</w:t>
      </w:r>
    </w:p>
    <w:p w:rsidR="000C0D30" w:rsidRDefault="000C0D30"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rsidR="000C0D30" w:rsidRPr="00256021" w:rsidRDefault="000C0D30"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ourt for their students</w:t>
      </w:r>
      <w:r>
        <w:t>’</w:t>
      </w:r>
      <w:r w:rsidRPr="00A568E1">
        <w:t xml:space="preserve"> </w:t>
      </w:r>
      <w:r w:rsidRPr="002302F9">
        <w:t>truancy</w:t>
      </w:r>
      <w:r>
        <w:t xml:space="preserve"> (failure to attend compulsory schooling). They were</w:t>
      </w:r>
      <w:r w:rsidRPr="002302F9">
        <w:t xml:space="preserve"> required to pay a five dollar fine, which they refused to do as a matter of conscience.</w:t>
      </w:r>
      <w:r>
        <w:t xml:space="preserve"> The </w:t>
      </w:r>
      <w:proofErr w:type="spellStart"/>
      <w:r>
        <w:t>Yoders</w:t>
      </w:r>
      <w:proofErr w:type="spellEnd"/>
      <w:r>
        <w:t xml:space="preserve">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state Supreme Court agreed and reversed </w:t>
      </w:r>
      <w:r w:rsidRPr="002302F9">
        <w:t xml:space="preserve">the </w:t>
      </w:r>
      <w:r>
        <w:t>Circuit Court’s decision, ruling in favor of Yoder. The state of Wisconsin sought review by the U.S. Supreme Court, which agreed to hear the case.</w:t>
      </w:r>
    </w:p>
    <w:p w:rsidR="000C0D30" w:rsidRDefault="000C0D30" w:rsidP="004B0C6B">
      <w:pPr>
        <w:pStyle w:val="Subhead2sl"/>
      </w:pPr>
      <w:r>
        <w:br w:type="page"/>
      </w:r>
    </w:p>
    <w:p w:rsidR="000C0D30" w:rsidRPr="008F19CB" w:rsidRDefault="000C0D30" w:rsidP="004B0C6B">
      <w:pPr>
        <w:pStyle w:val="Subhead2sl"/>
      </w:pPr>
      <w:r w:rsidRPr="008F19CB">
        <w:lastRenderedPageBreak/>
        <w:t xml:space="preserve">Issue </w:t>
      </w:r>
    </w:p>
    <w:p w:rsidR="000C0D30" w:rsidRDefault="000C0D30" w:rsidP="004B0C6B">
      <w:pPr>
        <w:pStyle w:val="Basiccopysl"/>
      </w:pPr>
      <w:r>
        <w:t>Under what conditions does the state’s interest in promoting compulsory education override parents’ First Amendment right to free exercise of religion?</w:t>
      </w:r>
    </w:p>
    <w:p w:rsidR="000C0D30" w:rsidRDefault="000C0D30" w:rsidP="004B0C6B">
      <w:pPr>
        <w:pStyle w:val="Subhead2sl"/>
      </w:pPr>
      <w:r>
        <w:t>Constitutional Amendments and Supreme Court Precedents</w:t>
      </w:r>
    </w:p>
    <w:p w:rsidR="000C0D30" w:rsidRPr="004B0C6B" w:rsidRDefault="000C0D30" w:rsidP="004B0C6B">
      <w:pPr>
        <w:pStyle w:val="Bulletsl"/>
        <w:spacing w:before="240"/>
        <w:rPr>
          <w:b/>
        </w:rPr>
      </w:pPr>
      <w:r>
        <w:rPr>
          <w:b/>
        </w:rPr>
        <w:t xml:space="preserve">First Amendment to the </w:t>
      </w:r>
      <w:r w:rsidRPr="004B0C6B">
        <w:rPr>
          <w:b/>
        </w:rPr>
        <w:t xml:space="preserve">U.S. Constitution </w:t>
      </w:r>
    </w:p>
    <w:p w:rsidR="000C0D30"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rsidR="000C0D30" w:rsidRPr="004B0C6B" w:rsidRDefault="000C0D30" w:rsidP="004B0C6B">
      <w:pPr>
        <w:pStyle w:val="Bulletsl"/>
        <w:spacing w:before="240"/>
        <w:rPr>
          <w:b/>
        </w:rPr>
      </w:pPr>
      <w:r>
        <w:rPr>
          <w:b/>
        </w:rPr>
        <w:t>14</w:t>
      </w:r>
      <w:r w:rsidRPr="0070082E">
        <w:rPr>
          <w:b/>
          <w:vertAlign w:val="superscript"/>
        </w:rPr>
        <w:t>th</w:t>
      </w:r>
      <w:r>
        <w:rPr>
          <w:b/>
        </w:rPr>
        <w:t xml:space="preserve"> Amendment to the </w:t>
      </w:r>
      <w:r w:rsidRPr="004B0C6B">
        <w:rPr>
          <w:b/>
        </w:rPr>
        <w:t xml:space="preserve">U.S. Constitution </w:t>
      </w:r>
    </w:p>
    <w:p w:rsidR="000C0D30" w:rsidRPr="004B0C6B" w:rsidRDefault="000C0D30"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rsidR="000C0D30" w:rsidRDefault="000C0D30" w:rsidP="004B0C6B">
      <w:pPr>
        <w:pStyle w:val="Bulletsl"/>
        <w:spacing w:before="240"/>
      </w:pPr>
      <w:r w:rsidRPr="004B0C6B">
        <w:rPr>
          <w:b/>
          <w:i/>
        </w:rPr>
        <w:t>Pierce v. Society of Sisters</w:t>
      </w:r>
      <w:r w:rsidRPr="004B0C6B">
        <w:rPr>
          <w:b/>
        </w:rPr>
        <w:t xml:space="preserve"> (1925) </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rsidR="000C0D30" w:rsidRPr="004B0C6B" w:rsidRDefault="000C0D30" w:rsidP="004B0C6B">
      <w:pPr>
        <w:pStyle w:val="Bulletsl"/>
        <w:spacing w:before="240"/>
        <w:rPr>
          <w:b/>
          <w:i/>
        </w:rPr>
      </w:pPr>
      <w:r w:rsidRPr="004B0C6B">
        <w:rPr>
          <w:b/>
          <w:i/>
        </w:rPr>
        <w:t>Prince v. Massachusetts (1944)</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rsidR="000C0D30" w:rsidRDefault="000C0D30" w:rsidP="00E75C46">
      <w:pPr>
        <w:pStyle w:val="Subhead2sl"/>
      </w:pPr>
      <w:r w:rsidRPr="00256021">
        <w:t>Arguments for Wisconsin</w:t>
      </w:r>
      <w:r>
        <w:t xml:space="preserve"> (petitioner)</w:t>
      </w:r>
    </w:p>
    <w:p w:rsidR="000C0D30" w:rsidRPr="00F65638" w:rsidRDefault="000C0D30" w:rsidP="00E75C46">
      <w:pPr>
        <w:pStyle w:val="Bulletsl"/>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rsidR="000C0D30" w:rsidRPr="00F65638" w:rsidRDefault="000C0D30" w:rsidP="00E75C46">
      <w:pPr>
        <w:pStyle w:val="Bulletsl"/>
      </w:pPr>
      <w:r w:rsidRPr="00F65638">
        <w:lastRenderedPageBreak/>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rsidR="000C0D30" w:rsidRPr="00F65638" w:rsidRDefault="000C0D30"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rsidR="000C0D30" w:rsidRPr="00F65638" w:rsidRDefault="000C0D30"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rsidR="000C0D30" w:rsidRPr="00256021" w:rsidRDefault="000C0D30" w:rsidP="00E75C46">
      <w:pPr>
        <w:pStyle w:val="Subhead2sl"/>
      </w:pPr>
      <w:r w:rsidRPr="00256021">
        <w:t>Arguments for Yoder</w:t>
      </w:r>
      <w:r>
        <w:t xml:space="preserve"> (respondent)</w:t>
      </w:r>
    </w:p>
    <w:p w:rsidR="000C0D30" w:rsidRDefault="000C0D30" w:rsidP="00E75C46">
      <w:pPr>
        <w:pStyle w:val="Bulletsl"/>
      </w:pPr>
      <w:r w:rsidRPr="003C3693">
        <w:t xml:space="preserve">The </w:t>
      </w:r>
      <w:r>
        <w:t xml:space="preserve">Amish and Mennonite communities’ </w:t>
      </w:r>
      <w:r w:rsidRPr="003C3693">
        <w:t xml:space="preserve">beliefs </w:t>
      </w:r>
      <w:r>
        <w:t xml:space="preserve">about the danger of formal education to their religion are sincere. They should not be forced to violate their own religious beliefs. </w:t>
      </w:r>
    </w:p>
    <w:p w:rsidR="000C0D30" w:rsidRPr="00077DF1" w:rsidRDefault="000C0D30"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rsidR="000C0D30" w:rsidRPr="00077DF1" w:rsidRDefault="000C0D30" w:rsidP="00E75C46">
      <w:pPr>
        <w:pStyle w:val="Bulletsl"/>
      </w:pPr>
      <w:r w:rsidRPr="00077DF1">
        <w:t xml:space="preserve">Additional years of compulsory schooling would not better prepare Amish students for their lives of agrarian and manual labor, even if they choose to leave Amish life. </w:t>
      </w:r>
    </w:p>
    <w:p w:rsidR="000C0D30" w:rsidRPr="00077DF1" w:rsidRDefault="000C0D30"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rsidR="000C0D30" w:rsidRPr="00077DF1" w:rsidRDefault="000C0D30" w:rsidP="00E75C46">
      <w:pPr>
        <w:pStyle w:val="Bulletsl"/>
      </w:pPr>
      <w:r w:rsidRPr="00B84747">
        <w:t xml:space="preserve">Leaving school after eighth grade does not create physical or mental harm to the students and does not disrupt the school or the community. </w:t>
      </w:r>
    </w:p>
    <w:p w:rsidR="000C0D30" w:rsidRDefault="000C0D30" w:rsidP="00E75C46">
      <w:pPr>
        <w:pStyle w:val="Subhead2sl"/>
      </w:pPr>
      <w:r>
        <w:t>Decision</w:t>
      </w:r>
    </w:p>
    <w:p w:rsidR="000C0D30" w:rsidRDefault="000C0D30" w:rsidP="00E75C46">
      <w:pPr>
        <w:pStyle w:val="Basiccopysl"/>
      </w:pPr>
      <w:r>
        <w:t xml:space="preserve">The Court decided the case unanimously, 7–0, in favor of Yoder. Chief Justice Burger delivered the opinion of the court. Justices Powell and Rehnquist did not take part in the case. Justice Douglas delivered a partial dissent. </w:t>
      </w:r>
    </w:p>
    <w:p w:rsidR="000C0D30" w:rsidRDefault="000C0D30" w:rsidP="00E75C46">
      <w:pPr>
        <w:pStyle w:val="Subhead3sl"/>
      </w:pPr>
      <w:r>
        <w:t>Majority</w:t>
      </w:r>
    </w:p>
    <w:p w:rsidR="000C0D30" w:rsidRDefault="000C0D30" w:rsidP="00E75C46">
      <w:pPr>
        <w:pStyle w:val="Basiccopysl"/>
      </w:pPr>
      <w:r>
        <w:t xml:space="preserve">The Supreme Court held that the Free Exercise Clause of the First Amendment, as incorporated by the 14th Amendment, prevented the state of Wisconsin from compelling the respondents to send their children to formal secondary school beyond the age of 14. </w:t>
      </w:r>
    </w:p>
    <w:p w:rsidR="000C0D30" w:rsidRDefault="000C0D30" w:rsidP="00E75C46">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rsidR="000C0D30" w:rsidRDefault="000C0D30" w:rsidP="006E589B">
      <w:pPr>
        <w:pStyle w:val="Basiccopysl"/>
        <w:ind w:left="360" w:right="360"/>
      </w:pPr>
      <w:r>
        <w:lastRenderedPageBreak/>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rsidR="000C0D30" w:rsidRDefault="000C0D30" w:rsidP="00E75C46">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rsidR="000C0D30" w:rsidRDefault="000C0D30" w:rsidP="00E75C46">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rsidR="000C0D30" w:rsidRDefault="000C0D30" w:rsidP="00E75C46">
      <w:pPr>
        <w:pStyle w:val="Subhead3sl"/>
      </w:pPr>
      <w:r>
        <w:t>Dissent, in part</w:t>
      </w:r>
    </w:p>
    <w:p w:rsidR="000C0D30" w:rsidRDefault="000C0D30"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p w:rsidR="00E10979" w:rsidRDefault="00E10979" w:rsidP="00E10979">
      <w:pPr>
        <w:pStyle w:val="Basiccopysl"/>
        <w:ind w:left="360" w:right="360"/>
      </w:pPr>
    </w:p>
    <w:sectPr w:rsidR="00E10979" w:rsidSect="000C0D30">
      <w:headerReference w:type="default" r:id="rId2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19" w:rsidRDefault="001A6B19" w:rsidP="0078549D">
      <w:pPr>
        <w:spacing w:after="0"/>
      </w:pPr>
      <w:r>
        <w:separator/>
      </w:r>
    </w:p>
  </w:endnote>
  <w:endnote w:type="continuationSeparator" w:id="0">
    <w:p w:rsidR="001A6B19" w:rsidRDefault="001A6B19"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0C0D30">
          <w:rPr>
            <w:noProof/>
          </w:rPr>
          <w:t>5</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0C0D30">
          <w:rPr>
            <w:noProof/>
          </w:rPr>
          <w:t>1</w:t>
        </w:r>
        <w:r w:rsidRPr="008A380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57782"/>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0C0D30">
          <w:rPr>
            <w:noProof/>
          </w:rPr>
          <w:t>20</w:t>
        </w:r>
        <w:r w:rsidRPr="008A3806">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69816"/>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0C0D30">
          <w:rPr>
            <w:noProof/>
          </w:rPr>
          <w:t>6</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19" w:rsidRDefault="001A6B19" w:rsidP="0078549D">
      <w:pPr>
        <w:spacing w:after="0"/>
      </w:pPr>
      <w:r>
        <w:separator/>
      </w:r>
    </w:p>
  </w:footnote>
  <w:footnote w:type="continuationSeparator" w:id="0">
    <w:p w:rsidR="001A6B19" w:rsidRDefault="001A6B19" w:rsidP="0078549D">
      <w:pPr>
        <w:spacing w:after="0"/>
      </w:pPr>
      <w:r>
        <w:continuationSeparator/>
      </w:r>
    </w:p>
  </w:footnote>
  <w:footnote w:id="1">
    <w:p w:rsidR="000C0D30" w:rsidRPr="00F42CDF" w:rsidRDefault="000C0D30" w:rsidP="00F42CDF">
      <w:pPr>
        <w:pStyle w:val="Basiccopysl"/>
      </w:pPr>
      <w:r w:rsidRPr="00F42CDF">
        <w:rPr>
          <w:rStyle w:val="FootnoteReference"/>
          <w:sz w:val="22"/>
          <w:szCs w:val="22"/>
        </w:rPr>
        <w:footnoteRef/>
      </w:r>
      <w:r w:rsidRPr="00F42CDF">
        <w:t xml:space="preserve"> In the Supreme Court’s opinion for this case, James McCulloch’s s</w:t>
      </w:r>
      <w:r>
        <w:t>u</w:t>
      </w:r>
      <w:r w:rsidRPr="00F42CDF">
        <w:t xml:space="preserve">rname was spelled </w:t>
      </w:r>
      <w:proofErr w:type="spellStart"/>
      <w:r w:rsidRPr="00F42CDF">
        <w:t>M</w:t>
      </w:r>
      <w:r w:rsidRPr="00F42CDF">
        <w:rPr>
          <w:rFonts w:ascii="Times New Roman" w:hAnsi="Times New Roman" w:cs="Times New Roman"/>
        </w:rPr>
        <w:t>ʻ</w:t>
      </w:r>
      <w:r w:rsidRPr="00F42CDF">
        <w:t>Culloch</w:t>
      </w:r>
      <w:proofErr w:type="spellEnd"/>
      <w:r w:rsidRPr="00F42CD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E10979" w:rsidP="00391EA0">
    <w:pPr>
      <w:pStyle w:val="Header"/>
      <w:jc w:val="right"/>
    </w:pPr>
    <w:r w:rsidRPr="00E10979">
      <w:rPr>
        <w:i/>
      </w:rPr>
      <w:t>Baker v. Carr (1962)</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McDonald v. City of Chicago (2010)</w:t>
    </w:r>
    <w:r w:rsidRPr="00F42CDF">
      <w:rPr>
        <w:i/>
        <w:noProof/>
      </w:rPr>
      <mc:AlternateContent>
        <mc:Choice Requires="wps">
          <w:drawing>
            <wp:anchor distT="0" distB="0" distL="114300" distR="114300" simplePos="0" relativeHeight="251677696" behindDoc="0" locked="0" layoutInCell="1" allowOverlap="1" wp14:anchorId="749913ED" wp14:editId="2F9E744B">
              <wp:simplePos x="0" y="0"/>
              <wp:positionH relativeFrom="column">
                <wp:posOffset>-209550</wp:posOffset>
              </wp:positionH>
              <wp:positionV relativeFrom="paragraph">
                <wp:posOffset>-171450</wp:posOffset>
              </wp:positionV>
              <wp:extent cx="269557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913ED" id="_x0000_t202" coordsize="21600,21600" o:spt="202" path="m,l,21600r21600,l21600,xe">
              <v:stroke joinstyle="miter"/>
              <v:path gradientshapeok="t" o:connecttype="rect"/>
            </v:shapetype>
            <v:shape id="Text Box 21" o:spid="_x0000_s1035" type="#_x0000_t202" style="position:absolute;left:0;text-align:left;margin-left:-16.5pt;margin-top:-13.5pt;width:212.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t&#10;YVm0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sidRPr="000C0D30">
      <w:rPr>
        <w:i/>
      </w:rPr>
      <w:t>New York Times Co. vs. U.S. (1971)</w:t>
    </w:r>
    <w:r w:rsidRPr="000C0D30">
      <w:rPr>
        <w:i/>
        <w:noProof/>
      </w:rPr>
      <mc:AlternateContent>
        <mc:Choice Requires="wps">
          <w:drawing>
            <wp:anchor distT="0" distB="0" distL="114300" distR="114300" simplePos="0" relativeHeight="251679744" behindDoc="0" locked="0" layoutInCell="1" allowOverlap="1" wp14:anchorId="7A02F9B1" wp14:editId="5F31F356">
              <wp:simplePos x="0" y="0"/>
              <wp:positionH relativeFrom="column">
                <wp:posOffset>-209550</wp:posOffset>
              </wp:positionH>
              <wp:positionV relativeFrom="paragraph">
                <wp:posOffset>-171450</wp:posOffset>
              </wp:positionV>
              <wp:extent cx="269557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2F9B1" id="_x0000_t202" coordsize="21600,21600" o:spt="202" path="m,l,21600r21600,l21600,xe">
              <v:stroke joinstyle="miter"/>
              <v:path gradientshapeok="t" o:connecttype="rect"/>
            </v:shapetype>
            <v:shape id="Text Box 23" o:spid="_x0000_s1036" type="#_x0000_t202" style="position:absolute;left:0;text-align:left;margin-left:-16.5pt;margin-top:-13.5pt;width:212.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4CiKo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Pr>
        <w:i/>
      </w:rPr>
      <w:t>Roe v. Wade (1973)</w:t>
    </w:r>
    <w:r w:rsidRPr="000C0D30">
      <w:rPr>
        <w:i/>
        <w:noProof/>
      </w:rPr>
      <mc:AlternateContent>
        <mc:Choice Requires="wps">
          <w:drawing>
            <wp:anchor distT="0" distB="0" distL="114300" distR="114300" simplePos="0" relativeHeight="251681792" behindDoc="0" locked="0" layoutInCell="1" allowOverlap="1" wp14:anchorId="419D4893" wp14:editId="49F61574">
              <wp:simplePos x="0" y="0"/>
              <wp:positionH relativeFrom="column">
                <wp:posOffset>-209550</wp:posOffset>
              </wp:positionH>
              <wp:positionV relativeFrom="paragraph">
                <wp:posOffset>-171450</wp:posOffset>
              </wp:positionV>
              <wp:extent cx="2695575" cy="5429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D4893" id="_x0000_t202" coordsize="21600,21600" o:spt="202" path="m,l,21600r21600,l21600,xe">
              <v:stroke joinstyle="miter"/>
              <v:path gradientshapeok="t" o:connecttype="rect"/>
            </v:shapetype>
            <v:shape id="Text Box 25" o:spid="_x0000_s1037" type="#_x0000_t202" style="position:absolute;left:0;text-align:left;margin-left:-16.5pt;margin-top:-13.5pt;width:212.2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TRVq&#10;DoACAABs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proofErr w:type="spellStart"/>
    <w:r>
      <w:rPr>
        <w:i/>
      </w:rPr>
      <w:t>Schenck</w:t>
    </w:r>
    <w:proofErr w:type="spellEnd"/>
    <w:r>
      <w:rPr>
        <w:i/>
      </w:rPr>
      <w:t xml:space="preserve"> v. U.S. (1919)</w:t>
    </w:r>
    <w:r w:rsidRPr="000C0D30">
      <w:rPr>
        <w:i/>
        <w:noProof/>
      </w:rPr>
      <mc:AlternateContent>
        <mc:Choice Requires="wps">
          <w:drawing>
            <wp:anchor distT="0" distB="0" distL="114300" distR="114300" simplePos="0" relativeHeight="251683840" behindDoc="0" locked="0" layoutInCell="1" allowOverlap="1" wp14:anchorId="1CF8D621" wp14:editId="113B72E7">
              <wp:simplePos x="0" y="0"/>
              <wp:positionH relativeFrom="column">
                <wp:posOffset>-209550</wp:posOffset>
              </wp:positionH>
              <wp:positionV relativeFrom="paragraph">
                <wp:posOffset>-171450</wp:posOffset>
              </wp:positionV>
              <wp:extent cx="2695575" cy="542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8D621" id="_x0000_t202" coordsize="21600,21600" o:spt="202" path="m,l,21600r21600,l21600,xe">
              <v:stroke joinstyle="miter"/>
              <v:path gradientshapeok="t" o:connecttype="rect"/>
            </v:shapetype>
            <v:shape id="Text Box 27" o:spid="_x0000_s1038" type="#_x0000_t202" style="position:absolute;left:0;text-align:left;margin-left:-16.5pt;margin-top:-13.5pt;width:212.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AonSfq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391EA0">
    <w:pPr>
      <w:pStyle w:val="Header"/>
      <w:jc w:val="right"/>
      <w:rPr>
        <w:i/>
      </w:rPr>
    </w:pPr>
    <w:r>
      <w:rPr>
        <w:i/>
      </w:rPr>
      <w:t>Shaw v. Reno (1993)</w:t>
    </w:r>
    <w:r w:rsidRPr="000C0D30">
      <w:rPr>
        <w:i/>
        <w:noProof/>
      </w:rPr>
      <mc:AlternateContent>
        <mc:Choice Requires="wps">
          <w:drawing>
            <wp:anchor distT="0" distB="0" distL="114300" distR="114300" simplePos="0" relativeHeight="251685888" behindDoc="0" locked="0" layoutInCell="1" allowOverlap="1" wp14:anchorId="4F36D5BC" wp14:editId="05B26A5A">
              <wp:simplePos x="0" y="0"/>
              <wp:positionH relativeFrom="column">
                <wp:posOffset>-209550</wp:posOffset>
              </wp:positionH>
              <wp:positionV relativeFrom="paragraph">
                <wp:posOffset>-171450</wp:posOffset>
              </wp:positionV>
              <wp:extent cx="2695575" cy="542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36D5BC" id="_x0000_t202" coordsize="21600,21600" o:spt="202" path="m,l,21600r21600,l21600,xe">
              <v:stroke joinstyle="miter"/>
              <v:path gradientshapeok="t" o:connecttype="rect"/>
            </v:shapetype>
            <v:shape id="Text Box 29" o:spid="_x0000_s1039" type="#_x0000_t202" style="position:absolute;left:0;text-align:left;margin-left:-16.5pt;margin-top:-13.5pt;width:212.2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KE++0e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sidRPr="000C0D30">
      <w:rPr>
        <w:i/>
      </w:rPr>
      <w:t xml:space="preserve">Tinker v. Des Moines Independent Community School District </w:t>
    </w:r>
    <w:r w:rsidRPr="000C0D30">
      <w:rPr>
        <w:i/>
        <w:noProof/>
      </w:rPr>
      <mc:AlternateContent>
        <mc:Choice Requires="wps">
          <w:drawing>
            <wp:anchor distT="0" distB="0" distL="114300" distR="114300" simplePos="0" relativeHeight="251687936" behindDoc="0" locked="0" layoutInCell="1" allowOverlap="1" wp14:anchorId="2AD75C2B" wp14:editId="22F79DC3">
              <wp:simplePos x="0" y="0"/>
              <wp:positionH relativeFrom="column">
                <wp:posOffset>-209550</wp:posOffset>
              </wp:positionH>
              <wp:positionV relativeFrom="paragraph">
                <wp:posOffset>-171450</wp:posOffset>
              </wp:positionV>
              <wp:extent cx="2695575" cy="542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75C2B" id="_x0000_t202" coordsize="21600,21600" o:spt="202" path="m,l,21600r21600,l21600,xe">
              <v:stroke joinstyle="miter"/>
              <v:path gradientshapeok="t" o:connecttype="rect"/>
            </v:shapetype>
            <v:shape id="Text Box 31" o:spid="_x0000_s1040" type="#_x0000_t202" style="position:absolute;left:0;text-align:left;margin-left:-16.5pt;margin-top:-13.5pt;width:212.2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m6CTY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(1969)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sidRPr="000C0D30">
      <w:rPr>
        <w:i/>
      </w:rPr>
      <w:t>United States v. Lopez</w:t>
    </w:r>
    <w:r>
      <w:t xml:space="preserve"> </w:t>
    </w:r>
    <w:r w:rsidRPr="000C0D30">
      <w:rPr>
        <w:i/>
        <w:noProof/>
      </w:rPr>
      <mc:AlternateContent>
        <mc:Choice Requires="wps">
          <w:drawing>
            <wp:anchor distT="0" distB="0" distL="114300" distR="114300" simplePos="0" relativeHeight="251689984" behindDoc="0" locked="0" layoutInCell="1" allowOverlap="1" wp14:anchorId="72810B8C" wp14:editId="5BA4E0CF">
              <wp:simplePos x="0" y="0"/>
              <wp:positionH relativeFrom="column">
                <wp:posOffset>-209550</wp:posOffset>
              </wp:positionH>
              <wp:positionV relativeFrom="paragraph">
                <wp:posOffset>-171450</wp:posOffset>
              </wp:positionV>
              <wp:extent cx="2695575" cy="542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10B8C" id="_x0000_t202" coordsize="21600,21600" o:spt="202" path="m,l,21600r21600,l21600,xe">
              <v:stroke joinstyle="miter"/>
              <v:path gradientshapeok="t" o:connecttype="rect"/>
            </v:shapetype>
            <v:shape id="Text Box 33" o:spid="_x0000_s1041" type="#_x0000_t202" style="position:absolute;left:0;text-align:left;margin-left:-16.5pt;margin-top:-13.5pt;width:212.2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qj5PyI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(1995)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0C0D30" w:rsidRDefault="000C0D30" w:rsidP="000C0D30">
    <w:pPr>
      <w:pStyle w:val="Header"/>
      <w:jc w:val="right"/>
      <w:rPr>
        <w:i/>
      </w:rPr>
    </w:pPr>
    <w:r>
      <w:rPr>
        <w:i/>
      </w:rPr>
      <w:t>Wisconsin v. Yoder</w:t>
    </w:r>
    <w:r>
      <w:t xml:space="preserve"> </w:t>
    </w:r>
    <w:r w:rsidRPr="000C0D30">
      <w:rPr>
        <w:i/>
        <w:noProof/>
      </w:rPr>
      <mc:AlternateContent>
        <mc:Choice Requires="wps">
          <w:drawing>
            <wp:anchor distT="0" distB="0" distL="114300" distR="114300" simplePos="0" relativeHeight="251692032" behindDoc="0" locked="0" layoutInCell="1" allowOverlap="1" wp14:anchorId="39378DDF" wp14:editId="234A7948">
              <wp:simplePos x="0" y="0"/>
              <wp:positionH relativeFrom="column">
                <wp:posOffset>-209550</wp:posOffset>
              </wp:positionH>
              <wp:positionV relativeFrom="paragraph">
                <wp:posOffset>-171450</wp:posOffset>
              </wp:positionV>
              <wp:extent cx="2695575"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378DDF" id="_x0000_t202" coordsize="21600,21600" o:spt="202" path="m,l,21600r21600,l21600,xe">
              <v:stroke joinstyle="miter"/>
              <v:path gradientshapeok="t" o:connecttype="rect"/>
            </v:shapetype>
            <v:shape id="Text Box 35" o:spid="_x0000_s1042" type="#_x0000_t202" style="position:absolute;left:0;text-align:left;margin-left:-16.5pt;margin-top:-13.5pt;width:212.25pt;height:4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mdggIAAGwFAAAOAAAAZHJzL2Uyb0RvYy54bWysVEtPGzEQvlfqf7B8L5uEJC0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j&#10;yWmdggIAAGw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0C0D30" w:rsidP="000C0D30">
    <w:pPr>
      <w:pStyle w:val="Header"/>
      <w:jc w:val="right"/>
    </w:pPr>
    <w:r w:rsidRPr="00E10979">
      <w:rPr>
        <w:i/>
      </w:rPr>
      <w:t>Baker v. Carr (1962)</w:t>
    </w:r>
    <w:r w:rsidR="00690889"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1A6B19"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63360"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5" o:spid="_x0000_s1028" type="#_x0000_t202" style="position:absolute;left:0;text-align:left;margin-left:-16.5pt;margin-top:-13.5pt;width:21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LxwJ&#10;3IACAABpBQAADgAAAAAAAAAAAAAAAAAuAgAAZHJzL2Uyb0RvYy54bWxQSwECLQAUAAYACAAAACEA&#10;vuRYLeEAAAAKAQAADwAAAAAAAAAAAAAAAADaBAAAZHJzL2Rvd25yZXYueG1sUEsFBgAAAAAEAAQA&#10;8wAAAOgFA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0C0D30" w:rsidP="000C0D30">
    <w:pPr>
      <w:pStyle w:val="Header"/>
      <w:jc w:val="right"/>
    </w:pPr>
    <w:r w:rsidRPr="000C0D30">
      <w:rPr>
        <w:i/>
      </w:rPr>
      <w:t>Brown v. Board of Education of Topeka (1954)</w:t>
    </w:r>
    <w:r w:rsidRPr="00F42CDF">
      <w:rPr>
        <w:i/>
        <w:noProof/>
      </w:rPr>
      <mc:AlternateContent>
        <mc:Choice Requires="wps">
          <w:drawing>
            <wp:anchor distT="0" distB="0" distL="114300" distR="114300" simplePos="0" relativeHeight="251665408" behindDoc="0" locked="0" layoutInCell="1" allowOverlap="1" wp14:anchorId="5EDB0B19" wp14:editId="1445A8A2">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DB0B19" id="_x0000_t202" coordsize="21600,21600" o:spt="202" path="m,l,21600r21600,l21600,xe">
              <v:stroke joinstyle="miter"/>
              <v:path gradientshapeok="t" o:connecttype="rect"/>
            </v:shapetype>
            <v:shape id="Text Box 9" o:spid="_x0000_s1029"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4ygA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8UVu&#10;MoACAABpBQAADgAAAAAAAAAAAAAAAAAuAgAAZHJzL2Uyb0RvYy54bWxQSwECLQAUAAYACAAAACEA&#10;vuRYLeEAAAAKAQAADwAAAAAAAAAAAAAAAADaBAAAZHJzL2Rvd25yZXYueG1sUEsFBgAAAAAEAAQA&#10;8wAAAOgFAAAAAA==&#10;" filled="f" stroked="f" strokeweight=".5pt">
              <v:textbo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Citizens United v. FEC (2010)</w:t>
    </w:r>
    <w:r w:rsidRPr="00F42CDF">
      <w:rPr>
        <w:i/>
        <w:noProof/>
      </w:rPr>
      <mc:AlternateContent>
        <mc:Choice Requires="wps">
          <w:drawing>
            <wp:anchor distT="0" distB="0" distL="114300" distR="114300" simplePos="0" relativeHeight="251667456" behindDoc="0" locked="0" layoutInCell="1" allowOverlap="1" wp14:anchorId="20E677E9" wp14:editId="4492E09D">
              <wp:simplePos x="0" y="0"/>
              <wp:positionH relativeFrom="column">
                <wp:posOffset>-209550</wp:posOffset>
              </wp:positionH>
              <wp:positionV relativeFrom="paragraph">
                <wp:posOffset>-171450</wp:posOffset>
              </wp:positionV>
              <wp:extent cx="2695575"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677E9" id="_x0000_t202" coordsize="21600,21600" o:spt="202" path="m,l,21600r21600,l21600,xe">
              <v:stroke joinstyle="miter"/>
              <v:path gradientshapeok="t" o:connecttype="rect"/>
            </v:shapetype>
            <v:shape id="Text Box 11" o:spid="_x0000_s1030" type="#_x0000_t202" style="position:absolute;left:0;text-align:left;margin-left:-16.5pt;margin-top:-13.5pt;width:212.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WK&#10;eQu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Engel v. Vitale (1962)</w:t>
    </w:r>
    <w:r w:rsidRPr="00F42CDF">
      <w:rPr>
        <w:i/>
        <w:noProof/>
      </w:rPr>
      <mc:AlternateContent>
        <mc:Choice Requires="wps">
          <w:drawing>
            <wp:anchor distT="0" distB="0" distL="114300" distR="114300" simplePos="0" relativeHeight="251669504" behindDoc="0" locked="0" layoutInCell="1" allowOverlap="1" wp14:anchorId="239C1A56" wp14:editId="36AB1C93">
              <wp:simplePos x="0" y="0"/>
              <wp:positionH relativeFrom="column">
                <wp:posOffset>-209550</wp:posOffset>
              </wp:positionH>
              <wp:positionV relativeFrom="paragraph">
                <wp:posOffset>-171450</wp:posOffset>
              </wp:positionV>
              <wp:extent cx="26955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9C1A56" id="_x0000_t202" coordsize="21600,21600" o:spt="202" path="m,l,21600r21600,l21600,xe">
              <v:stroke joinstyle="miter"/>
              <v:path gradientshapeok="t" o:connecttype="rect"/>
            </v:shapetype>
            <v:shape id="Text Box 13" o:spid="_x0000_s1031" type="#_x0000_t202" style="position:absolute;left:0;text-align:left;margin-left:-16.5pt;margin-top:-13.5pt;width:212.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qD&#10;pVm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Gideon v. Wainwright (1963)</w:t>
    </w:r>
    <w:r w:rsidRPr="00F42CDF">
      <w:rPr>
        <w:i/>
        <w:noProof/>
      </w:rPr>
      <mc:AlternateContent>
        <mc:Choice Requires="wps">
          <w:drawing>
            <wp:anchor distT="0" distB="0" distL="114300" distR="114300" simplePos="0" relativeHeight="251671552" behindDoc="0" locked="0" layoutInCell="1" allowOverlap="1" wp14:anchorId="24E2AD20" wp14:editId="27186092">
              <wp:simplePos x="0" y="0"/>
              <wp:positionH relativeFrom="column">
                <wp:posOffset>-209550</wp:posOffset>
              </wp:positionH>
              <wp:positionV relativeFrom="paragraph">
                <wp:posOffset>-171450</wp:posOffset>
              </wp:positionV>
              <wp:extent cx="2695575" cy="542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2AD20" id="_x0000_t202" coordsize="21600,21600" o:spt="202" path="m,l,21600r21600,l21600,xe">
              <v:stroke joinstyle="miter"/>
              <v:path gradientshapeok="t" o:connecttype="rect"/>
            </v:shapetype>
            <v:shape id="Text Box 15" o:spid="_x0000_s1032" type="#_x0000_t202" style="position:absolute;left:0;text-align:left;margin-left:-16.5pt;margin-top:-13.5pt;width:212.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ugAIAAGsFAAAOAAAAZHJzL2Uyb0RvYy54bWysVEtPGzEQvlfqf7B8L5ukSSg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K5jB&#10;roACAABr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Marbury v. Madison (1803)</w:t>
    </w:r>
    <w:r w:rsidRPr="00F42CDF">
      <w:rPr>
        <w:i/>
        <w:noProof/>
      </w:rPr>
      <mc:AlternateContent>
        <mc:Choice Requires="wps">
          <w:drawing>
            <wp:anchor distT="0" distB="0" distL="114300" distR="114300" simplePos="0" relativeHeight="251673600" behindDoc="0" locked="0" layoutInCell="1" allowOverlap="1" wp14:anchorId="7B98C0C9" wp14:editId="2E28E91D">
              <wp:simplePos x="0" y="0"/>
              <wp:positionH relativeFrom="column">
                <wp:posOffset>-209550</wp:posOffset>
              </wp:positionH>
              <wp:positionV relativeFrom="paragraph">
                <wp:posOffset>-171450</wp:posOffset>
              </wp:positionV>
              <wp:extent cx="2695575" cy="542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8C0C9" id="_x0000_t202" coordsize="21600,21600" o:spt="202" path="m,l,21600r21600,l21600,xe">
              <v:stroke joinstyle="miter"/>
              <v:path gradientshapeok="t" o:connecttype="rect"/>
            </v:shapetype>
            <v:shape id="Text Box 17" o:spid="_x0000_s1033" type="#_x0000_t202" style="position:absolute;left:0;text-align:left;margin-left:-16.5pt;margin-top:-13.5pt;width:212.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8gQIAAGs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CSR&#10;Hfy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Default="000C0D30" w:rsidP="00391EA0">
    <w:pPr>
      <w:pStyle w:val="Header"/>
      <w:jc w:val="right"/>
    </w:pPr>
    <w:r>
      <w:rPr>
        <w:i/>
      </w:rPr>
      <w:t>McCulloch v. Maryland (1819)</w:t>
    </w:r>
    <w:r w:rsidRPr="00F42CDF">
      <w:rPr>
        <w:i/>
        <w:noProof/>
      </w:rPr>
      <mc:AlternateContent>
        <mc:Choice Requires="wps">
          <w:drawing>
            <wp:anchor distT="0" distB="0" distL="114300" distR="114300" simplePos="0" relativeHeight="251675648" behindDoc="0" locked="0" layoutInCell="1" allowOverlap="1" wp14:anchorId="16A5809C" wp14:editId="66438FBA">
              <wp:simplePos x="0" y="0"/>
              <wp:positionH relativeFrom="column">
                <wp:posOffset>-209550</wp:posOffset>
              </wp:positionH>
              <wp:positionV relativeFrom="paragraph">
                <wp:posOffset>-171450</wp:posOffset>
              </wp:positionV>
              <wp:extent cx="2695575"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5809C" id="_x0000_t202" coordsize="21600,21600" o:spt="202" path="m,l,21600r21600,l21600,xe">
              <v:stroke joinstyle="miter"/>
              <v:path gradientshapeok="t" o:connecttype="rect"/>
            </v:shapetype>
            <v:shape id="Text Box 19" o:spid="_x0000_s1034" type="#_x0000_t202" style="position:absolute;left:0;text-align:left;margin-left:-16.5pt;margin-top:-13.5pt;width:212.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1&#10;JLCH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53C1"/>
    <w:rsid w:val="000C0D30"/>
    <w:rsid w:val="000D0D29"/>
    <w:rsid w:val="000E239D"/>
    <w:rsid w:val="00136C23"/>
    <w:rsid w:val="00161C2E"/>
    <w:rsid w:val="00163CBF"/>
    <w:rsid w:val="00170B98"/>
    <w:rsid w:val="001A6B19"/>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15CB0"/>
    <w:rsid w:val="0081706F"/>
    <w:rsid w:val="008344B3"/>
    <w:rsid w:val="009D6B03"/>
    <w:rsid w:val="00A06F2D"/>
    <w:rsid w:val="00A264C3"/>
    <w:rsid w:val="00AC1A30"/>
    <w:rsid w:val="00AE0C77"/>
    <w:rsid w:val="00B07FF7"/>
    <w:rsid w:val="00B14232"/>
    <w:rsid w:val="00B62487"/>
    <w:rsid w:val="00B91534"/>
    <w:rsid w:val="00BE4A01"/>
    <w:rsid w:val="00C30920"/>
    <w:rsid w:val="00C42CDF"/>
    <w:rsid w:val="00C9229A"/>
    <w:rsid w:val="00C949AC"/>
    <w:rsid w:val="00D42341"/>
    <w:rsid w:val="00D52F5A"/>
    <w:rsid w:val="00D825E8"/>
    <w:rsid w:val="00DE3D18"/>
    <w:rsid w:val="00DE4AF3"/>
    <w:rsid w:val="00E10979"/>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yperlink" Target="https://supreme.justia.com/cases/federal/us/406/205"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DC91-3A2C-4476-9EB9-FD209611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63</Pages>
  <Words>23088</Words>
  <Characters>131604</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Allison Hawkins</cp:lastModifiedBy>
  <cp:revision>2</cp:revision>
  <dcterms:created xsi:type="dcterms:W3CDTF">2018-10-03T18:44:00Z</dcterms:created>
  <dcterms:modified xsi:type="dcterms:W3CDTF">2018-10-03T18:44:00Z</dcterms:modified>
</cp:coreProperties>
</file>